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5" w:rsidRPr="00E86A24" w:rsidRDefault="00134535" w:rsidP="001345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ATTO SINDACALE</w:t>
      </w:r>
      <w:r w:rsidR="00783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2 DEL 30/03/2015</w:t>
      </w:r>
    </w:p>
    <w:p w:rsidR="00134535" w:rsidRPr="00E86A24" w:rsidRDefault="00134535" w:rsidP="001345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PIANO DI RAZIONALIZZAZIONE</w:t>
      </w:r>
    </w:p>
    <w:p w:rsidR="00134535" w:rsidRPr="00E86A24" w:rsidRDefault="00134535" w:rsidP="001345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delle società e delle partecipazioni societarie direttamente ed indirettamente detenute dal </w:t>
      </w:r>
      <w:r w:rsid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omune di </w:t>
      </w:r>
      <w:r w:rsidR="0039559C"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Dicomano</w:t>
      </w:r>
    </w:p>
    <w:p w:rsidR="003E66E0" w:rsidRDefault="003E66E0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Dato atto che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comune di </w:t>
      </w:r>
      <w:r w:rsidR="0039559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r w:rsidR="0043657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comano ha provveduto con atto del Consiglio Comunale </w:t>
      </w:r>
      <w:r w:rsidR="0039559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57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n.</w:t>
      </w:r>
      <w:r w:rsidR="0039559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130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</w:t>
      </w:r>
      <w:r w:rsidR="0039559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16.12.2010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 ricogni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zione di cui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all’art. 3 comma 27 della legge di stabilità per il 2007 (L. 244/2007) 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 fini della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dismissione della partecipazioni non più detenibili 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dagli enti locali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86A24" w:rsidRPr="00E86A24" w:rsidRDefault="00E86A24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33EA" w:rsidRDefault="003E66E0" w:rsidP="00E8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Preso atto altresì che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termini di cui sopra sono stati ulteriormente prorogati 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dall’art 1 co 569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lla legge di stabilità 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 ( L 147/2013)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 segue</w:t>
      </w:r>
      <w:r w:rsidRPr="00E86A2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E86A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Il termine di trentasei mesi fissato dal comma 29 dell'articolo 3 della le</w:t>
      </w:r>
      <w:r w:rsidR="00E86A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gge 24 dicembre 2007, n. 244, è</w:t>
      </w:r>
      <w:r w:rsidRPr="00E86A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prorogato di dodici mesi dalla data di entrata in vigore della presente legge,</w:t>
      </w:r>
      <w:r w:rsidRPr="00E86A2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decorsi i quali la partecipazione non alienata mediante procedura di evidenza pubblica cessa ad ogni effetto; </w:t>
      </w:r>
      <w:r w:rsidRPr="00E86A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entro dodici mesi successivi alla cessazione la società liquida in denaro il valore della quota del socio cessato in base ai criteri stabiliti all'articolo 2437-ter, secondo comma, del codice civile</w:t>
      </w:r>
      <w:r w:rsidRPr="00E86A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 (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marzo 2015 scadenza del termine prorogato per la ricogni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zione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delle dismissioni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per il tentativo di messa in vendita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</w:t>
      </w:r>
      <w:r w:rsidR="004218E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partecipazioni non più detenibili)</w:t>
      </w:r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 è stato introdotto un meccanismo di recesso </w:t>
      </w:r>
      <w:r w:rsidR="008D33EA"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 </w:t>
      </w:r>
      <w:proofErr w:type="spellStart"/>
      <w:r w:rsidR="008D33EA"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lege</w:t>
      </w:r>
      <w:proofErr w:type="spellEnd"/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onde consentire agli enti locali l’</w:t>
      </w:r>
      <w:r w:rsidR="000B6A57" w:rsidRPr="00E86A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uscita</w:t>
      </w:r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dalle società di capitali, </w:t>
      </w:r>
      <w:r w:rsidR="000B6A5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qualora </w:t>
      </w:r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 ricorrono più le condizioni di </w:t>
      </w:r>
      <w:proofErr w:type="spellStart"/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detenibilità</w:t>
      </w:r>
      <w:proofErr w:type="spellEnd"/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relative partecipazioni da parte degli enti locali</w:t>
      </w:r>
      <w:r w:rsidR="003F1B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6A24" w:rsidRPr="00E86A24" w:rsidRDefault="00E86A24" w:rsidP="00E8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679" w:rsidRPr="00E86A24" w:rsidRDefault="00E00CBC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Vista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la L 190/2014 ed in particolare l’art. 1 comma 611</w:t>
      </w:r>
      <w:r w:rsidR="00DA1679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679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quale </w:t>
      </w:r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dispone -</w:t>
      </w:r>
      <w:r w:rsidR="00AC7C1B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nell’ottica più generale di  assicurare  il  coordinamento della  finanza  pubblica, il  contenimento  della  spesa, il buon andamento dell'azione amministrativa e la tutela della concorrenza  e del mercato- </w:t>
      </w:r>
      <w:r w:rsidR="008D33EA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regioni, le provincie, i comuni, le camere di commercio, le università e gli istituti di istruzione universitaria pubblici, </w:t>
      </w:r>
      <w:proofErr w:type="spellStart"/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nonchè</w:t>
      </w:r>
      <w:proofErr w:type="spellEnd"/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autorità portuali, a decorrere dal 1/01/2015, </w:t>
      </w:r>
      <w:r w:rsidR="00DA1679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l’obbligo di </w:t>
      </w:r>
      <w:r w:rsidR="00DA16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avviare un processo di 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razionalizzazione delle società</w:t>
      </w:r>
      <w:r w:rsidR="0060660E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6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 delle  partecipazioni  societarie  direttamente  o  indirettamente possedute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A1679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onde conseguire la riduzione delle stes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 entro  il 31 dicembre 2015;</w:t>
      </w:r>
    </w:p>
    <w:p w:rsidR="00DA1679" w:rsidRPr="00E86A24" w:rsidRDefault="00DA1679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 lo stesso comma dispone altresì che il sindaco è tenuto a definire e approvare  un  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iano   operativo   di razionalizzazione delle 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 delle  partecipazioni  societarie direttamente o indirettamente possedute, contenente </w:t>
      </w:r>
      <w:r w:rsidR="00AC7C1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modalit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AC7C1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tempi  di attuazione,  </w:t>
      </w:r>
      <w:proofErr w:type="spellStart"/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nonchè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risparmi  da conseguire;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1679" w:rsidRPr="00E86A24" w:rsidRDefault="00DA1679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33EA" w:rsidRPr="00E86A24" w:rsidRDefault="00DA1679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 tale piano, corredato di un'apposita  relazione  tecnica,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 essere trasmesso alla competente sezione  regionale  di  controllo  della Corte  dei  conti  e  pubblicato  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 sito  internet istituzionale del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comune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che entro il 31 marzo 2016 gli stessi organi devono 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altresì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predisporre una  relazione  sui  risultati conseguiti,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 trasmettere alla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medesima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sezione  regionale  di controllo della Corte  dei  conti  e  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pubblica</w:t>
      </w:r>
      <w:r w:rsidR="005D149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 su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 sito  internet ai sensi del D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D33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D33EA" w:rsidRPr="00E86A24" w:rsidRDefault="008D33EA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4F3" w:rsidRPr="00E86A24" w:rsidRDefault="00FE2CA3" w:rsidP="003F1B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Preso </w:t>
      </w:r>
      <w:r w:rsidR="00DA0A45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pertanto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 l’organo </w:t>
      </w:r>
      <w:r w:rsidR="00FC54A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competente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="0013453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</w:t>
      </w:r>
      <w:r w:rsidR="00F100B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adempiment</w:t>
      </w:r>
      <w:r w:rsidR="00F100B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B24F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A4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secondo le</w:t>
      </w:r>
      <w:r w:rsidR="00FC54A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norme citate</w:t>
      </w:r>
      <w:r w:rsidR="00DB24F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C54A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è il Sindaco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0CBC" w:rsidRPr="00E86A24" w:rsidRDefault="00FC54A7" w:rsidP="007B17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i soggetti incisi dalla norma sono le società e le partecipazioni detenute direttamente ed indirettamente, mentre n</w:t>
      </w:r>
      <w:r w:rsidR="0060660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ulla </w:t>
      </w:r>
      <w:r w:rsidR="000B6A5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è indicato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le aziende speciali e le istituzioni</w:t>
      </w:r>
      <w:r w:rsidR="000B6A5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pertanto non devono essere ricomprese </w:t>
      </w:r>
      <w:r w:rsidR="0060660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</w:t>
      </w:r>
      <w:r w:rsidR="00BA36E9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F1B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iano;</w:t>
      </w:r>
    </w:p>
    <w:p w:rsidR="001B1103" w:rsidRPr="00E86A24" w:rsidRDefault="001B1103" w:rsidP="007B17A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la finalità perseguita dal Piano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operativo di razionalizzazione è quello di procedere ad una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riduzione</w:t>
      </w:r>
      <w:r w:rsidR="00BA36E9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/razionalizzazione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delle società partecipate, anche tenendo conto dei seguenti criteri:</w:t>
      </w:r>
    </w:p>
    <w:p w:rsidR="009A5930" w:rsidRPr="00E86A24" w:rsidRDefault="001B1103" w:rsidP="00E86A24">
      <w:pPr>
        <w:tabs>
          <w:tab w:val="num" w:pos="567"/>
        </w:tabs>
        <w:spacing w:after="0"/>
        <w:ind w:left="709" w:hanging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eliminazione </w:t>
      </w:r>
      <w:r w:rsidR="00136AB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delle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società non indispensabili</w:t>
      </w:r>
      <w:r w:rsidR="009A593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6AB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ovvero, </w:t>
      </w:r>
      <w:r w:rsidR="009A593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alla luce dell’art. 3 comma 27 di cui sopra, </w:t>
      </w:r>
      <w:r w:rsidR="00136AB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devono essere mantenute solo quelle società i cui servizi sono strettamente necessari al perseguimento del fine istituzionale dell’ente e </w:t>
      </w:r>
      <w:r w:rsidR="00136ABC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“indispensabili”, ovvero non reperibili sul mercato;</w:t>
      </w:r>
    </w:p>
    <w:p w:rsidR="009A5930" w:rsidRPr="00E86A24" w:rsidRDefault="009A5930" w:rsidP="00E86A24">
      <w:pPr>
        <w:tabs>
          <w:tab w:val="num" w:pos="709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soppressione delle società che risultino composte da soli amministratori o da un numero di amministratori superiore a quello dei dipendenti;</w:t>
      </w:r>
    </w:p>
    <w:p w:rsidR="009A5930" w:rsidRPr="00E86A24" w:rsidRDefault="009A5930" w:rsidP="00E86A24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eliminazione di partecipazioni in società con oggetto analogo o similare;</w:t>
      </w:r>
    </w:p>
    <w:p w:rsidR="009A5930" w:rsidRPr="00E86A24" w:rsidRDefault="009A5930" w:rsidP="00E86A24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aggregazione su scala più vasta per le società che svolgono servizi pubblici locali;</w:t>
      </w:r>
    </w:p>
    <w:p w:rsidR="009A5930" w:rsidRDefault="009A5930" w:rsidP="00E86A24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contenimento dei costi di funzionamento, anche mediante riorganizzazione: (a) degli organi amministrativi; (b) degli organi di controllo, (c) delle strutture aziendali; (d) riduzione delle relative remunerazioni.</w:t>
      </w:r>
    </w:p>
    <w:p w:rsidR="00E86A24" w:rsidRPr="00E86A24" w:rsidRDefault="00E86A24" w:rsidP="00E86A24">
      <w:pPr>
        <w:tabs>
          <w:tab w:val="num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528" w:rsidRPr="00E86A24" w:rsidRDefault="00B74D23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quanto stabilito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dalla legge di stabilità che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 seguito si riporta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E1DA1" w:rsidRPr="00E86A24" w:rsidRDefault="000C3528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 marzo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2015 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approvazione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iano operativo di razionalizzazione 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competenza del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sindaco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corredat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dalla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relativa relazione tecnica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E1DA1" w:rsidRPr="00E86A24" w:rsidRDefault="000C3528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D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il </w:t>
      </w:r>
      <w:r w:rsidR="009E1DA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="000B6A5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marzo </w:t>
      </w:r>
      <w:r w:rsidR="009E1DA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</w:t>
      </w:r>
      <w:r w:rsidR="009E1D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invio del Piano operativo e della relativa relazione tecnica alla Corte dei Conti e pubblicazione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dello stesso </w:t>
      </w:r>
      <w:r w:rsidR="009E1D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sul sito istituzionale dell’ente in ottemperanza alle disposizioni del </w:t>
      </w:r>
      <w:proofErr w:type="spellStart"/>
      <w:r w:rsidR="009E1D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="009E1DA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33/2013</w:t>
      </w:r>
    </w:p>
    <w:p w:rsidR="000C3528" w:rsidRPr="00E86A24" w:rsidRDefault="000C3528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entro 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="00FD1CB6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dicembre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2015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consegui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(in tutto o in parte) </w:t>
      </w:r>
      <w:r w:rsidR="000B6A5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risultato;</w:t>
      </w:r>
    </w:p>
    <w:p w:rsidR="000C3528" w:rsidRPr="00E86A24" w:rsidRDefault="000C3528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 marzo del 2016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D23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adozione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una relazione sull’attuazione del piano operativo con i risultati ottenuti.</w:t>
      </w:r>
    </w:p>
    <w:p w:rsidR="000C3528" w:rsidRDefault="00B74D2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1CB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entro il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="00FD1CB6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marzo 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CB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invio alla Corte dei Conti </w:t>
      </w:r>
      <w:r w:rsidR="00FD1CB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della relazione successiva contenente i risultati ottenuti alla data del 15.3.16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pubblicazione sul sito dell’ente 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ottemp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eranza alle disposizioni del </w:t>
      </w:r>
      <w:proofErr w:type="spellStart"/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</w:t>
      </w:r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gs</w:t>
      </w:r>
      <w:proofErr w:type="spellEnd"/>
      <w:r w:rsidR="00872F2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33/2013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6A24" w:rsidRPr="00E86A24" w:rsidRDefault="00E86A24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4D23" w:rsidRPr="00E86A24" w:rsidRDefault="00872F2B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Preso atto </w:t>
      </w:r>
      <w:r w:rsidR="00FC096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della</w:t>
      </w: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B74D23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elazione tecnica </w:t>
      </w:r>
      <w:r w:rsidR="00FC096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allegata nella quale sono evidenziate</w:t>
      </w:r>
      <w:r w:rsidR="00B74D23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74D23" w:rsidRPr="00E86A24" w:rsidRDefault="00B74D2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le società coinvolte;</w:t>
      </w:r>
    </w:p>
    <w:p w:rsidR="00DB24F3" w:rsidRPr="00E86A24" w:rsidRDefault="00DB24F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gli obiettivi di </w:t>
      </w:r>
      <w:r w:rsidR="00B227E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riduzione e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razionalizzazione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B24F3" w:rsidRPr="00E86A24" w:rsidRDefault="00DB24F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azioni conseguenti;</w:t>
      </w:r>
    </w:p>
    <w:p w:rsidR="00B74D23" w:rsidRPr="00E86A24" w:rsidRDefault="00B74D2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i tempi;</w:t>
      </w:r>
    </w:p>
    <w:p w:rsidR="00B74D23" w:rsidRPr="00E86A24" w:rsidRDefault="00B74D23" w:rsidP="00E86A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1CB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risparmi da conseguire.</w:t>
      </w:r>
    </w:p>
    <w:p w:rsidR="007D6A06" w:rsidRDefault="001F4BE6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Preso</w:t>
      </w:r>
      <w:r w:rsidR="00B227E0" w:rsidRPr="00E86A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atto</w:t>
      </w:r>
      <w:r w:rsidR="00B227E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altresì </w:t>
      </w:r>
      <w:r w:rsidR="005935B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dell’art 1 co 609 </w:t>
      </w:r>
      <w:r w:rsidR="00B227E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190/2014 (che modifica l’art. 3 bis del </w:t>
      </w:r>
      <w:r w:rsidR="003F1B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D.L.</w:t>
      </w:r>
      <w:r w:rsidR="00B227E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138/2011, convertito con modifiche nella legge n. 148/20111) </w:t>
      </w:r>
      <w:r w:rsidR="005935B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nel quale </w:t>
      </w:r>
      <w:r w:rsidR="00EC13E6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viene</w:t>
      </w:r>
      <w:r w:rsidR="005935B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7E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prev</w:t>
      </w:r>
      <w:r w:rsidR="00BF1109">
        <w:rPr>
          <w:rFonts w:ascii="Times New Roman" w:hAnsi="Times New Roman" w:cs="Times New Roman"/>
          <w:color w:val="000000" w:themeColor="text1"/>
          <w:sz w:val="24"/>
          <w:szCs w:val="24"/>
        </w:rPr>
        <w:t>isto</w:t>
      </w:r>
      <w:r w:rsidR="00B227E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profonda revisione della disciplina dell’organizzazione delle gestioni dei servizi pubblici locali a rilevanza economica a rete a</w:t>
      </w:r>
      <w:r w:rsidR="00B227E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fine di promuovere processi di aggregazione e 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potenziamento del</w:t>
      </w:r>
      <w:r w:rsidR="00B227E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gestione  industriale, </w:t>
      </w:r>
      <w:r w:rsidR="003E66E0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r w:rsidR="00246265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3E66E0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cui </w:t>
      </w:r>
      <w:r w:rsidR="00EC13E6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comuni</w:t>
      </w:r>
      <w:r w:rsidR="00B227E0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6265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dev</w:t>
      </w:r>
      <w:r w:rsidR="00EC13E6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ono pertanto</w:t>
      </w:r>
      <w:r w:rsidR="00246265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tener conto</w:t>
      </w:r>
      <w:r w:rsidR="00EC13E6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nei loro atti </w:t>
      </w:r>
      <w:r w:rsidR="00902471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 programmazione</w:t>
      </w:r>
      <w:r w:rsidR="003F1BA2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1627" w:rsidRPr="00E86A24" w:rsidRDefault="00331627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1627" w:rsidRDefault="00EC13E6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inoltre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quanto 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previsto 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="00EE72E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commi da 550 a 555 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="00EE72E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ll’art 1 L 147/13 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="00EE72E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aziende speciali,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 istituzioni  e  le società</w:t>
      </w:r>
      <w:r w:rsidR="00EE72E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partecipate  dalle  pubbliche  amministrazioni  locali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E72E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tenute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concorr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alla realizzazione degli  obiettivi di finanza pubblica perseguendo la sana gestione dei servizi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secondo criteri di economic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ità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di  efficienza</w:t>
      </w:r>
      <w:r w:rsidR="0090247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dal 24.6.14 all’attuazione del principio di  riduzione dei  costi di personale, in conf</w:t>
      </w:r>
      <w:r w:rsidR="003F1BA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ormità a quanto disposto dal  D.L. </w:t>
      </w:r>
      <w:r w:rsidR="0090247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90/14 art 4 co 12 bis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E72E1" w:rsidRPr="00E86A24" w:rsidRDefault="00B71F40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3F8B" w:rsidRDefault="00B71F40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3E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altresì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dell’obbligo per le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pubbliche amministrazioni locali partecipanti -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 caso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risultato di esercizio o saldo  finanziario  negativo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parte </w:t>
      </w:r>
      <w:r w:rsidR="003C79B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di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accantona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secondo le percentuali previste dal legislatore a decorrere dall'anno 2015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apposito fondo vincolato un importo pari al risultato negativo non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immediatamente ripianato,  in  misura  proporzionale  alla  quota  di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F95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partecipazione</w:t>
      </w:r>
      <w:r w:rsidR="00AD115F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F8B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comunque secondo le percentuali previste dalla norma in sede di prima applicazione, per gli anni 2015, 2016 e 2017.</w:t>
      </w:r>
    </w:p>
    <w:p w:rsidR="00331627" w:rsidRPr="00E86A24" w:rsidRDefault="00331627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4064" w:rsidRDefault="003C79BA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Preso atto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degli obblighi, a decorrere  dall'esercizio  2015, di riduzione dei compensi ai componenti degli organi di amministrazione 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(fino alla loro revoca) 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aziende  </w:t>
      </w:r>
      <w:r w:rsidR="00331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speciali, istituzioni e società,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 abbiano le caratteristiche ivi previste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 casi di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risultato  economico</w:t>
      </w:r>
      <w:r w:rsidR="00B71F4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negativo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pluriennale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B4064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decorrere dall'esercizio 2017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liquidazione </w:t>
      </w:r>
      <w:r w:rsidR="00902471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nelle fattispecie 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quivi previsti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C7F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1627" w:rsidRPr="00E86A24" w:rsidRDefault="00331627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1DA1" w:rsidRDefault="009E1DA1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Tutto ciò premesso</w:t>
      </w:r>
      <w:r w:rsidR="003F1BA2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827F6" w:rsidRDefault="005827F6" w:rsidP="0033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27F6" w:rsidRPr="005827F6" w:rsidRDefault="005827F6" w:rsidP="00582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27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DECRETA</w:t>
      </w:r>
    </w:p>
    <w:p w:rsidR="003B63F1" w:rsidRPr="00E86A24" w:rsidRDefault="005827F6" w:rsidP="003F1BA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Di </w:t>
      </w:r>
      <w:r w:rsidR="00FC096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adotta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</w:t>
      </w:r>
      <w:r w:rsidR="00FC096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il seguente</w:t>
      </w:r>
    </w:p>
    <w:p w:rsidR="001F4BE6" w:rsidRPr="00E86A24" w:rsidRDefault="00E41135" w:rsidP="003F1BA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FC0967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iano di razionalizzazione</w:t>
      </w:r>
    </w:p>
    <w:p w:rsidR="00246265" w:rsidRPr="00E86A24" w:rsidRDefault="00246265" w:rsidP="003F1BA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46265" w:rsidRPr="00E86A24" w:rsidRDefault="00246265" w:rsidP="003F1BA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SOGGETTI </w:t>
      </w:r>
      <w:r w:rsidR="00A224B0"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DESTINATARI</w:t>
      </w:r>
    </w:p>
    <w:p w:rsidR="00246265" w:rsidRPr="00E86A24" w:rsidRDefault="00246265" w:rsidP="003F1BA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12A5" w:rsidRPr="00E86A24" w:rsidRDefault="00C812A5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comune di </w:t>
      </w:r>
      <w:r w:rsidR="0039559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Dicomano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detiene le seguenti partecipazioni azionarie in via diretta</w:t>
      </w:r>
    </w:p>
    <w:p w:rsidR="00C812A5" w:rsidRPr="00E86A24" w:rsidRDefault="00C812A5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Grigliatabella"/>
        <w:tblW w:w="99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1803"/>
        <w:gridCol w:w="1559"/>
        <w:gridCol w:w="1524"/>
      </w:tblGrid>
      <w:tr w:rsidR="00E86A24" w:rsidRPr="00E86A24" w:rsidTr="007F7CAB">
        <w:tc>
          <w:tcPr>
            <w:tcW w:w="1526" w:type="dxa"/>
          </w:tcPr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SOCIETA’ </w:t>
            </w:r>
          </w:p>
        </w:tc>
        <w:tc>
          <w:tcPr>
            <w:tcW w:w="1417" w:type="dxa"/>
          </w:tcPr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PARTECIPAZIONE AZIONARIA DEL COMUNE </w:t>
            </w:r>
            <w:r w:rsidR="009E1DA1"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DIRETTA O </w:t>
            </w:r>
            <w:r w:rsidR="009E1DA1"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INDIRETTA</w:t>
            </w:r>
          </w:p>
        </w:tc>
        <w:tc>
          <w:tcPr>
            <w:tcW w:w="2127" w:type="dxa"/>
          </w:tcPr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ALTRI ENTI PARTECIPANTI </w:t>
            </w:r>
          </w:p>
        </w:tc>
        <w:tc>
          <w:tcPr>
            <w:tcW w:w="1803" w:type="dxa"/>
          </w:tcPr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OGGETTO SOCIALE </w:t>
            </w:r>
          </w:p>
        </w:tc>
        <w:tc>
          <w:tcPr>
            <w:tcW w:w="1559" w:type="dxa"/>
          </w:tcPr>
          <w:p w:rsidR="00C812A5" w:rsidRPr="00331627" w:rsidRDefault="00331627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NUMERO </w:t>
            </w:r>
          </w:p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AMMINISTRATORI </w:t>
            </w:r>
          </w:p>
        </w:tc>
        <w:tc>
          <w:tcPr>
            <w:tcW w:w="1524" w:type="dxa"/>
          </w:tcPr>
          <w:p w:rsidR="00C812A5" w:rsidRPr="00331627" w:rsidRDefault="00C812A5" w:rsidP="003316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UMERO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DIPENDENTI </w:t>
            </w:r>
          </w:p>
        </w:tc>
      </w:tr>
      <w:tr w:rsidR="00E86A24" w:rsidRPr="00E86A24" w:rsidTr="007F7CAB">
        <w:tc>
          <w:tcPr>
            <w:tcW w:w="1526" w:type="dxa"/>
          </w:tcPr>
          <w:p w:rsidR="00C812A5" w:rsidRPr="00E86A24" w:rsidRDefault="0039559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AER AMBIENTE ENERGIA RISORSE S.P.A.</w:t>
            </w:r>
          </w:p>
        </w:tc>
        <w:tc>
          <w:tcPr>
            <w:tcW w:w="1417" w:type="dxa"/>
          </w:tcPr>
          <w:p w:rsidR="00C812A5" w:rsidRPr="00E86A24" w:rsidRDefault="0039559C" w:rsidP="0028289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10,62%</w:t>
            </w:r>
          </w:p>
        </w:tc>
        <w:tc>
          <w:tcPr>
            <w:tcW w:w="2127" w:type="dxa"/>
          </w:tcPr>
          <w:p w:rsidR="00AC02EA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1,17%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16,18%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45,87%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14,14%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0,94%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-Figline –Incisa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V.no 0,56%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-Rignano su Arno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0,18%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-Reggello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0,36%</w:t>
            </w:r>
          </w:p>
          <w:p w:rsidR="003C0BF6" w:rsidRPr="002701E7" w:rsidRDefault="003C0BF6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S.c.r.l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9,98%</w:t>
            </w:r>
          </w:p>
        </w:tc>
        <w:tc>
          <w:tcPr>
            <w:tcW w:w="1803" w:type="dxa"/>
          </w:tcPr>
          <w:p w:rsidR="00C812A5" w:rsidRPr="00E86A24" w:rsidRDefault="0039559C" w:rsidP="003955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Gestione servizio raccolta, trasporto e smaltimento rifiuti</w:t>
            </w:r>
          </w:p>
        </w:tc>
        <w:tc>
          <w:tcPr>
            <w:tcW w:w="1559" w:type="dxa"/>
          </w:tcPr>
          <w:p w:rsidR="00C812A5" w:rsidRPr="00E86A24" w:rsidRDefault="006C7F96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C812A5" w:rsidRPr="00E86A24" w:rsidRDefault="00F67F81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</w:tr>
      <w:tr w:rsidR="00E86A24" w:rsidRPr="00E86A24" w:rsidTr="007F7CAB">
        <w:tc>
          <w:tcPr>
            <w:tcW w:w="1526" w:type="dxa"/>
          </w:tcPr>
          <w:p w:rsidR="00C812A5" w:rsidRPr="00E86A24" w:rsidRDefault="0039559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A.E.R. Impianti s.r.l.</w:t>
            </w:r>
          </w:p>
        </w:tc>
        <w:tc>
          <w:tcPr>
            <w:tcW w:w="1417" w:type="dxa"/>
          </w:tcPr>
          <w:p w:rsidR="00C812A5" w:rsidRPr="00E86A24" w:rsidRDefault="0039559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5%</w:t>
            </w:r>
          </w:p>
        </w:tc>
        <w:tc>
          <w:tcPr>
            <w:tcW w:w="2127" w:type="dxa"/>
          </w:tcPr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Comune: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Londa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1,15%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Pelago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12,29%</w:t>
            </w:r>
          </w:p>
          <w:p w:rsidR="00C812A5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Pontassieve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41,65%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Rufina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12,02%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San Godenzo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0,91%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Rignano Sull’Arno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4,18%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Figline e Incisa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V.Arno</w:t>
            </w:r>
            <w:proofErr w:type="spellEnd"/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3,02%</w:t>
            </w:r>
          </w:p>
          <w:p w:rsidR="00AC02EA" w:rsidRPr="002701E7" w:rsidRDefault="00AC02EA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Reggello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7,75%</w:t>
            </w:r>
          </w:p>
          <w:p w:rsidR="00AC02EA" w:rsidRPr="002701E7" w:rsidRDefault="007F7CAB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AC02EA"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A.E.R. spa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2,01%</w:t>
            </w:r>
          </w:p>
          <w:p w:rsidR="00AC02EA" w:rsidRPr="002701E7" w:rsidRDefault="007F7CAB" w:rsidP="002701E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AC02EA"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="00AC02EA"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S.C.R.L.</w:t>
            </w:r>
            <w:r w:rsidR="00784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10,02%</w:t>
            </w:r>
          </w:p>
        </w:tc>
        <w:tc>
          <w:tcPr>
            <w:tcW w:w="1803" w:type="dxa"/>
          </w:tcPr>
          <w:p w:rsidR="00C812A5" w:rsidRPr="00E86A24" w:rsidRDefault="0039559C" w:rsidP="0039559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Attività di stoccaggio rifiuti solidi urbani e materiale da raccolta differenziata. Realizzazione impianto di termovalorizzazione</w:t>
            </w:r>
          </w:p>
        </w:tc>
        <w:tc>
          <w:tcPr>
            <w:tcW w:w="1559" w:type="dxa"/>
          </w:tcPr>
          <w:p w:rsidR="00C812A5" w:rsidRPr="00E86A24" w:rsidRDefault="0039559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C812A5" w:rsidRPr="00E86A24" w:rsidRDefault="004A7ED1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A64" w:rsidRPr="00E86A24" w:rsidTr="007F7CAB">
        <w:tc>
          <w:tcPr>
            <w:tcW w:w="1526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Publiacqua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 0,242%</w:t>
            </w:r>
          </w:p>
        </w:tc>
        <w:tc>
          <w:tcPr>
            <w:tcW w:w="2127" w:type="dxa"/>
          </w:tcPr>
          <w:p w:rsidR="00D72A64" w:rsidRPr="00D72A64" w:rsidRDefault="00D72A64" w:rsidP="007F7C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Soci Pubblici 60% così suddivisi: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0,43%,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Consiag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24,94, Comune Firenze 21,67, ALTRI COMUNI 12,96 così come segue: Comune Agliana 0,06%, Comune Bagno a Ripoli 0,01%, Comune Barberino di Mugello 0,06%, Comune Barberino Val d’Elsa 0,01%, Comune Borgo San Lorenzo 0,06%, Comune Calenzano 0,06%, Comune Campi Bisenzio 0,06%, Comune Cantagallo 0,06%, Comune Carmignano 0,06%, Comune Castelfranco di Sopra 0,14%, Comune Cavriglia 0,38%, Comune Figline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Valdarno 0,83%, Comune Greve in Chianti 0,01%, Comune Impruneta 0,01%, Comune Incisa Val d’Arno 0,28%, Comune Lastra a Signa 0,06%, Comune Londa 0,08%; Comune Loro Ciuffenna 0,25%, Comune Montemurlo 0,06%, Comune Montale 0,06%, Comune Montevarchi 0,06%, Comune Pelago 0,37%, Comune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0,27%, Comune Pistoia 3,95%, Comune Poggio a Caiano 0,06%, Comune Pontassieve 1,05%, Comune Prato 0,06%, Comune Quarrata 0,06%, Comune Reggello 0,70%, Comune Rignano sull’Arno 0,36%, Comune Rufina 0,33%, Comune San Casciano 0,06%, Comune San Giovanni Valdarno 0,87%, Comune San Godenzo 0,06%, Comune San Piero a Sieve 0,06%, Comune Sambuca Pistoiese 0,06%, Comune Scandicci 0,06%, Comune Scarperia 0,06%, Comune Serravalle Pistoiese 0,45%, Comune Sesto Fiorentino 0,06%, Comune Signa 0,06%, Comune Tavarnelle Val di Pesa 0,01%, Comune Terranova Bracciolini 0,55%, Comune Vaglia 0,06%, Comune Vaiano 0,06%, Comune Vernio 0,06%,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Comune di Vicchio 0,36%,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Acque Blu Fiorentine 40% così suddivise: Acea spa 68,99%,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Ondeo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Italia spa 22,83%, MPS Investments  spa 8,00%, Consorzio Cooperative Costruzioni  - C.C.C. società cooperativa,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Vianini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Lavori spa, Consorzio Toscano Cooperative – C.T.C. società cooperativa 0,18%</w:t>
            </w:r>
          </w:p>
        </w:tc>
        <w:tc>
          <w:tcPr>
            <w:tcW w:w="1803" w:type="dxa"/>
          </w:tcPr>
          <w:p w:rsidR="00D72A64" w:rsidRPr="00E86A2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idrico integrato</w:t>
            </w:r>
          </w:p>
        </w:tc>
        <w:tc>
          <w:tcPr>
            <w:tcW w:w="1559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D72A64" w:rsidRPr="00E86A24" w:rsidRDefault="007F7CAB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636</w:t>
            </w:r>
          </w:p>
        </w:tc>
      </w:tr>
      <w:tr w:rsidR="00D72A64" w:rsidRPr="00E86A24" w:rsidTr="007F7CAB">
        <w:tc>
          <w:tcPr>
            <w:tcW w:w="1526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Toscana Energia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0,01%</w:t>
            </w:r>
          </w:p>
        </w:tc>
        <w:tc>
          <w:tcPr>
            <w:tcW w:w="2127" w:type="dxa"/>
          </w:tcPr>
          <w:p w:rsidR="00D72A64" w:rsidRPr="00D72A6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Banca di Pisa e Fornacette Credito Cooperativo 0,0809%, Banca Monte dei Paschi di Siena 0,5868%, Italgas (gruppo Snam) 48,0834%, Soci Pubblici 51,25% così suddivisi:  </w:t>
            </w:r>
          </w:p>
          <w:p w:rsidR="00D72A64" w:rsidRPr="00D72A6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7F7CAB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Altopascio  0,6945%-Bagno a Ripoli 0,0652%-Barberino Val d’Elsa  0,0069%-Barga  0,0153%-Bientina  0,3411%- Borgo San Lorenzo 0,0044% -Buggiano 0,0147-Buti  0,3030%-Calci  0,2986%-Calcinaia  0,4023%-Camaiore  0,1019%-Campi Bisenzio 0,0004% -Capannori  0,1977%-Casciana Terme 0,0928%-Cascina 1,9205%-Castelfranco 0,0231%-Pian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 0,0368%-Castelfranco di Sotto  0.7577%-Castelnuovo Garfagnana  0,0092% -Chianni  0,1622%-Chiesina Uzzanese 0,0040%-Crespina Lorenzana 0,1393%- Fauglia  0,1220% -Fiesole 0,0035%-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Figline e Incisa in Val Arno 0,0087% Firenze  20,6099%-Gaiole in Chianti  0,0022%-Greve in Chianti  0,0276%-Impruneta  0,0281%-Lajatico 0,1551%-Lamporecchio 0,0083%  Larciano  0,0066%-Lari 0,6645%-Laterina  0,0064%-Londa  0,0065%-Lorenzana 0,1218%-Loro Ciuffenna 0,0114% -Massa e Cozzile 0,0145% -Massarosa  1,1682%-Monsummano Terme  0,0330%-Montecarlo  0,2175%-Montecatini Terme 0,0549%-Orciano Pisano 0,0555% -Palaia 0,1982% -Peccioli  0,5895%-Pelago  0,0116% -Pergine Valdarno  0,0222%-Pescia   0,0299% -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0,0368% - Pietrasanta  0,0690% -Pieve a Nievole  0,0168% - Pieve Fosciana  0,0007% - Pisa  4,1932% - Ponsacco  0,5730%- Pontassieve  0,0070%- Ponte Buggianese  0,0113% - Pontedera  0,0062% - Porcari  0,0132%- Radda in Chianti 0,0026%-Reggello 0,0087%- Rignano sull’Arno 0,0397%  Rufina  0,0220%- San Casciano Val di Pesa  0,0318%- San Giuliano Terme  1,7520%- San Godenzo  0,0017%- San Miniato  1,3003%- Santa Croce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sull’Arno  0,7747%-Santa Luce 0,1259%-  Scarperia e San Piero 0,0440%-Tavarnelle Val di Pesa  0,0148%-Terricciola  0,2250%-Uzzano 0,0084% Vaglia  0,0026% - Vecchiano  0,0744%-Viareggio  1,2668% -</w:t>
            </w:r>
          </w:p>
          <w:p w:rsidR="007F7CAB" w:rsidRDefault="007F7CAB" w:rsidP="00D72A6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Vicchio </w:t>
            </w:r>
            <w:r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0,0168%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:rsidR="00D72A64" w:rsidRPr="00D72A6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Vicopisano 0,3976% -Volterra 0,0295% - Provincia di Pisa  0,0928% -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10,3787%</w:t>
            </w:r>
          </w:p>
        </w:tc>
        <w:tc>
          <w:tcPr>
            <w:tcW w:w="1803" w:type="dxa"/>
          </w:tcPr>
          <w:p w:rsidR="00D72A64" w:rsidRPr="00E86A2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distribuzione gas</w:t>
            </w:r>
          </w:p>
        </w:tc>
        <w:tc>
          <w:tcPr>
            <w:tcW w:w="1559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D72A64" w:rsidRPr="00E86A24" w:rsidRDefault="007F7CAB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404</w:t>
            </w:r>
          </w:p>
        </w:tc>
      </w:tr>
      <w:tr w:rsidR="00D72A64" w:rsidRPr="00E86A24" w:rsidTr="007F7CAB">
        <w:tc>
          <w:tcPr>
            <w:tcW w:w="1526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Casa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D72A6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Firenze 59,00%, Comune Sesto Fiorentino 5,00%, Comune Campi Bisenzio 4,00%, Comune Scandicci 4,00%, Comune Bagno a Ripoli 2,00%, Comune Borgo San Lorenzo 2,00%, Comune Lastra a Signa 2,00%, Comune Pontassieve 2,00%, Comune Scarperia e San Piero 2,00%, Comune Figline e Incisa Valdarno 1,50%, Comune Barberino di Mugello 1,00%, Comune Calenzano 1,00%, Comune Fiesole 1,00%, Comune Firenzuola 1,00%, Comune Greve in Chianti 1,00%, Comune Impruneta 1,00%, Comune Marradi 1,00%, Comune Reggello 1,00%, Comune Rignano sull’Arno 1,00%, Comune San Casciano Val di Pesa 1,00%, Comune Signa 1,00; Comune Barberino Val d’Elsa 0,50%, </w:t>
            </w:r>
          </w:p>
          <w:p w:rsidR="00D72A64" w:rsidRPr="00567E65" w:rsidRDefault="00D72A64" w:rsidP="00D72A64">
            <w:pPr>
              <w:jc w:val="both"/>
              <w:rPr>
                <w:rFonts w:ascii="Arial" w:eastAsia="Times New Roman" w:hAnsi="Arial" w:cs="Arial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Comune Londa 0,50%, Comune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Palazzuolo Sul Senio 0,50%, Comune Pelago 0,50%, Comune Rufina 0,50%, Comune San Godenzo 0,50%, Comune Tavarnelle 0,50%, Comune Vaglia 0,50%</w:t>
            </w:r>
            <w:r w:rsidRPr="00567E65">
              <w:rPr>
                <w:rFonts w:ascii="Arial" w:eastAsia="Times New Roman" w:hAnsi="Arial" w:cs="Arial"/>
              </w:rPr>
              <w:t xml:space="preserve"> </w:t>
            </w:r>
            <w:r w:rsidR="007F7CAB">
              <w:rPr>
                <w:rFonts w:ascii="Arial" w:eastAsia="Times New Roman" w:hAnsi="Arial" w:cs="Arial"/>
              </w:rPr>
              <w:t xml:space="preserve"> </w:t>
            </w:r>
            <w:r w:rsidR="007F7CAB"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Vicchio 1,00%</w:t>
            </w:r>
          </w:p>
        </w:tc>
        <w:tc>
          <w:tcPr>
            <w:tcW w:w="1803" w:type="dxa"/>
          </w:tcPr>
          <w:p w:rsidR="00D72A64" w:rsidRPr="00E86A24" w:rsidRDefault="00D72A64" w:rsidP="00D72A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Recupero, manutenzione e gestione del patrimonio di edilizia residenziale pubblica</w:t>
            </w:r>
          </w:p>
        </w:tc>
        <w:tc>
          <w:tcPr>
            <w:tcW w:w="1559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D72A64" w:rsidRPr="00E86A24" w:rsidRDefault="00D72A64" w:rsidP="00D72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EF534C" w:rsidRPr="00E86A24" w:rsidTr="007F7CAB">
        <w:tc>
          <w:tcPr>
            <w:tcW w:w="1526" w:type="dxa"/>
          </w:tcPr>
          <w:p w:rsidR="00EF534C" w:rsidRPr="00E86A24" w:rsidRDefault="00EF534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TO.RO.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  <w:r w:rsidR="00D23DCA"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proofErr w:type="spellEnd"/>
            <w:r w:rsidR="00D23DCA"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r.l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F534C" w:rsidRPr="00E86A24" w:rsidRDefault="00EF534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EF534C" w:rsidRPr="005E1771" w:rsidRDefault="008E40C7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5C0B9A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C0B9A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C0B9A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 Firenze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</w:t>
            </w:r>
            <w:r w:rsidR="008E40C7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rcio Firenze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Commercio Forlì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Forlì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="008E40C7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="008E40C7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 Forlì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Cassa di Risparmio Forlì</w:t>
            </w:r>
          </w:p>
          <w:p w:rsidR="005C0B9A" w:rsidRPr="005E1771" w:rsidRDefault="008E40C7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Comunità </w:t>
            </w:r>
            <w:r w:rsidR="005C0B9A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Mont</w:t>
            </w: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5C0B9A"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na Acqua Cheta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-Castrocaro Terme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-Dovadola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-Rocca San Casciano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-Portico e San Benedetto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-Fiesole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Comunità Montana Montagna Fiorentina (ora Unione  Montagna Fiorentina)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Ente Cassa di Risparmio di Firenze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Associazione Industriali Provincia Forlì</w:t>
            </w:r>
          </w:p>
          <w:p w:rsidR="005C0B9A" w:rsidRPr="005E1771" w:rsidRDefault="005C0B9A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:rsidR="00EF534C" w:rsidRDefault="00EF534C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Miglioramento viario S.S. 67 Tosco-romagnola</w:t>
            </w:r>
            <w:r w:rsid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F7CAB" w:rsidRPr="00E86A24" w:rsidRDefault="007F7CAB" w:rsidP="005E177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Promozione, coordinamento e realizzazione di studi, progetti ed iniziative di miglioramento viario fra la Regione Toscana e l’Area Romagnola. Promozione sviluppo socio-economico del tratto Firenze/Forlì della S.S. 67</w:t>
            </w:r>
          </w:p>
        </w:tc>
        <w:tc>
          <w:tcPr>
            <w:tcW w:w="1559" w:type="dxa"/>
          </w:tcPr>
          <w:p w:rsidR="00EF534C" w:rsidRPr="00E86A24" w:rsidRDefault="00EF534C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EF534C" w:rsidRDefault="005827F6" w:rsidP="00F83A4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5827F6" w:rsidRPr="00E86A24" w:rsidRDefault="005827F6" w:rsidP="00F83A4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27F6" w:rsidRDefault="005827F6" w:rsidP="00A22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63F1" w:rsidRPr="00E86A24" w:rsidRDefault="003B63F1" w:rsidP="00A224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OBIETTIVI</w:t>
      </w:r>
    </w:p>
    <w:p w:rsidR="001F4BE6" w:rsidRPr="00E86A24" w:rsidRDefault="003B63F1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F4BE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conformità all’art 1 co 611 Legge di stabilità 2015</w:t>
      </w:r>
      <w:r w:rsidR="00FC096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così</w:t>
      </w:r>
      <w:r w:rsidR="001F4BE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come esattamente rappresentato nella allegata relazione tecnica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4BE6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967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gli obiettivi da realizzare sono:</w:t>
      </w:r>
    </w:p>
    <w:p w:rsidR="001F4BE6" w:rsidRPr="00E86A24" w:rsidRDefault="001F4BE6" w:rsidP="007B17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- eliminazione (</w:t>
      </w:r>
      <w:r w:rsidR="001D2A0C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anche mediante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messa in liquidazione o cessione) di società e di partecipazioni non indispensabili al perseguimento delle 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proprie finalità istituzionali;</w:t>
      </w:r>
    </w:p>
    <w:p w:rsidR="001F4BE6" w:rsidRPr="00E86A24" w:rsidRDefault="001F4BE6" w:rsidP="007B17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- eliminazione di società con un numero di amministratori su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periore a quello dei dipendenti;</w:t>
      </w:r>
    </w:p>
    <w:p w:rsidR="00A224B0" w:rsidRPr="00E86A24" w:rsidRDefault="00A224B0" w:rsidP="00A224B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-eliminazione di partecipazioni in società con oggetto analogo o similare</w:t>
      </w:r>
      <w:r w:rsidR="004A3DAE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224B0" w:rsidRPr="00E86A24" w:rsidRDefault="00A224B0" w:rsidP="00A224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-contenimento dei costi di funzionamento, anche mediante riorganizzazione: (a) degli organi amministrativi; (b) degli organi di controllo, (c) delle strutture aziendali; (d) riduzione delle relative remunerazioni </w:t>
      </w:r>
      <w:r w:rsidR="0064591D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per le società che sopravviv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ranno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0967" w:rsidRPr="00E86A24" w:rsidRDefault="001F4BE6" w:rsidP="007B17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- accorpa</w:t>
      </w:r>
      <w:r w:rsidR="00FC096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mento del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le attività di più società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A0C" w:rsidRPr="00E86A24" w:rsidRDefault="00FC0967" w:rsidP="007B17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4BE6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</w:t>
      </w:r>
      <w:r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zione </w:t>
      </w:r>
      <w:r w:rsidR="00FE5237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00FEA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potenziamento della gestione  industriale</w:t>
      </w:r>
      <w:r w:rsidR="00A00FEA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delle</w:t>
      </w:r>
      <w:r w:rsidR="001F4BE6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società che gestiscono servizi pubblici locali a rilevanza economica </w:t>
      </w:r>
      <w:r w:rsidR="00914481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rete</w:t>
      </w:r>
      <w:r w:rsidR="00FA4A69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 </w:t>
      </w:r>
      <w:r w:rsidR="001D2A0C" w:rsidRPr="007F7C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 1</w:t>
      </w:r>
      <w:r w:rsidR="001D2A0C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609 </w:t>
      </w:r>
      <w:r w:rsidR="00AE4902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L 190/2015</w:t>
      </w:r>
      <w:r w:rsidR="00596A16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livello di ambiti, cui gli enti locali </w:t>
      </w:r>
      <w:r w:rsidR="00FE5237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devono partecipare</w:t>
      </w:r>
      <w:r w:rsidR="00596A16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obbligatoriamente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63F1" w:rsidRPr="00E86A24" w:rsidRDefault="003B63F1" w:rsidP="00A224B0">
      <w:pPr>
        <w:pStyle w:val="NormaleWeb"/>
        <w:jc w:val="center"/>
        <w:rPr>
          <w:rFonts w:ascii="Times New Roman" w:hAnsi="Times New Roman"/>
          <w:b/>
          <w:bCs/>
          <w:color w:val="000000" w:themeColor="text1"/>
        </w:rPr>
      </w:pPr>
      <w:r w:rsidRPr="00E86A24">
        <w:rPr>
          <w:rFonts w:ascii="Times New Roman" w:hAnsi="Times New Roman"/>
          <w:b/>
          <w:bCs/>
          <w:color w:val="000000" w:themeColor="text1"/>
        </w:rPr>
        <w:t>AZIONI</w:t>
      </w:r>
    </w:p>
    <w:p w:rsidR="00C812A5" w:rsidRPr="00E86A24" w:rsidRDefault="001F4BE6" w:rsidP="007B17AB">
      <w:pPr>
        <w:pStyle w:val="NormaleWeb"/>
        <w:jc w:val="both"/>
        <w:rPr>
          <w:rFonts w:ascii="Times New Roman" w:hAnsi="Times New Roman"/>
          <w:bCs/>
          <w:color w:val="000000" w:themeColor="text1"/>
        </w:rPr>
      </w:pPr>
      <w:r w:rsidRPr="00E86A24">
        <w:rPr>
          <w:rFonts w:ascii="Times New Roman" w:hAnsi="Times New Roman"/>
          <w:bCs/>
          <w:color w:val="000000" w:themeColor="text1"/>
        </w:rPr>
        <w:t>A tal fine viene individuato il seguente percorso operativo da attuare in tutto o in parte entro il 31.12.15</w:t>
      </w:r>
      <w:r w:rsidR="004A3DAE" w:rsidRPr="00E86A24">
        <w:rPr>
          <w:rFonts w:ascii="Times New Roman" w:hAnsi="Times New Roman"/>
          <w:bCs/>
          <w:color w:val="000000" w:themeColor="text1"/>
        </w:rPr>
        <w:t>.</w:t>
      </w:r>
    </w:p>
    <w:p w:rsidR="001F4BE6" w:rsidRPr="00E86A24" w:rsidRDefault="00C812A5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7F7CAB">
        <w:rPr>
          <w:rFonts w:ascii="Times New Roman" w:hAnsi="Times New Roman"/>
          <w:color w:val="000000" w:themeColor="text1"/>
        </w:rPr>
        <w:t xml:space="preserve">Per far questo </w:t>
      </w:r>
      <w:r w:rsidR="001F4BE6" w:rsidRPr="007F7CAB">
        <w:rPr>
          <w:rFonts w:ascii="Times New Roman" w:hAnsi="Times New Roman"/>
          <w:color w:val="000000" w:themeColor="text1"/>
        </w:rPr>
        <w:t xml:space="preserve"> viene istituito un gruppo di lavoro </w:t>
      </w:r>
      <w:r w:rsidR="001D2A0C" w:rsidRPr="007F7CAB">
        <w:rPr>
          <w:rFonts w:ascii="Times New Roman" w:hAnsi="Times New Roman"/>
          <w:color w:val="000000" w:themeColor="text1"/>
        </w:rPr>
        <w:t xml:space="preserve">auspicabilmente </w:t>
      </w:r>
      <w:r w:rsidR="003B63F1" w:rsidRPr="007F7CAB">
        <w:rPr>
          <w:rFonts w:ascii="Times New Roman" w:hAnsi="Times New Roman"/>
          <w:color w:val="000000" w:themeColor="text1"/>
        </w:rPr>
        <w:t>intercomunale</w:t>
      </w:r>
      <w:r w:rsidR="001F4BE6" w:rsidRPr="007F7CAB">
        <w:rPr>
          <w:rFonts w:ascii="Times New Roman" w:hAnsi="Times New Roman"/>
          <w:color w:val="000000" w:themeColor="text1"/>
        </w:rPr>
        <w:t xml:space="preserve">, che </w:t>
      </w:r>
      <w:r w:rsidR="004C6147" w:rsidRPr="007F7CAB">
        <w:rPr>
          <w:rFonts w:ascii="Times New Roman" w:hAnsi="Times New Roman"/>
          <w:color w:val="000000" w:themeColor="text1"/>
        </w:rPr>
        <w:t xml:space="preserve">internamente </w:t>
      </w:r>
      <w:r w:rsidR="001F4BE6" w:rsidRPr="007F7CAB">
        <w:rPr>
          <w:rFonts w:ascii="Times New Roman" w:hAnsi="Times New Roman"/>
          <w:color w:val="000000" w:themeColor="text1"/>
        </w:rPr>
        <w:t xml:space="preserve">fa capo </w:t>
      </w:r>
      <w:r w:rsidR="003B63F1" w:rsidRPr="007F7CAB">
        <w:rPr>
          <w:rFonts w:ascii="Times New Roman" w:hAnsi="Times New Roman"/>
          <w:color w:val="000000" w:themeColor="text1"/>
        </w:rPr>
        <w:t>a</w:t>
      </w:r>
      <w:r w:rsidR="001D2A0C" w:rsidRPr="007F7CAB">
        <w:rPr>
          <w:rFonts w:ascii="Times New Roman" w:hAnsi="Times New Roman"/>
          <w:color w:val="000000" w:themeColor="text1"/>
        </w:rPr>
        <w:t>i</w:t>
      </w:r>
      <w:r w:rsidR="001D2A0C" w:rsidRPr="00E86A24">
        <w:rPr>
          <w:rFonts w:ascii="Times New Roman" w:hAnsi="Times New Roman"/>
          <w:color w:val="000000" w:themeColor="text1"/>
        </w:rPr>
        <w:t xml:space="preserve"> diversi</w:t>
      </w:r>
      <w:r w:rsidR="003B63F1" w:rsidRPr="00E86A24">
        <w:rPr>
          <w:rFonts w:ascii="Times New Roman" w:hAnsi="Times New Roman"/>
          <w:color w:val="000000" w:themeColor="text1"/>
        </w:rPr>
        <w:t xml:space="preserve"> </w:t>
      </w:r>
      <w:r w:rsidR="001F4BE6" w:rsidRPr="00E86A24">
        <w:rPr>
          <w:rFonts w:ascii="Times New Roman" w:hAnsi="Times New Roman"/>
          <w:color w:val="000000" w:themeColor="text1"/>
        </w:rPr>
        <w:t xml:space="preserve">uffici partecipate, </w:t>
      </w:r>
      <w:r w:rsidR="00246265" w:rsidRPr="00E86A24">
        <w:rPr>
          <w:rFonts w:ascii="Times New Roman" w:hAnsi="Times New Roman"/>
          <w:color w:val="000000" w:themeColor="text1"/>
        </w:rPr>
        <w:t xml:space="preserve">eventualmente </w:t>
      </w:r>
      <w:r w:rsidR="001F4BE6" w:rsidRPr="00E86A24">
        <w:rPr>
          <w:rFonts w:ascii="Times New Roman" w:hAnsi="Times New Roman"/>
          <w:color w:val="000000" w:themeColor="text1"/>
        </w:rPr>
        <w:t xml:space="preserve">implementato dalle professionalità tecniche di cui </w:t>
      </w:r>
      <w:r w:rsidR="001D2A0C" w:rsidRPr="00E86A24">
        <w:rPr>
          <w:rFonts w:ascii="Times New Roman" w:hAnsi="Times New Roman"/>
          <w:color w:val="000000" w:themeColor="text1"/>
        </w:rPr>
        <w:t>gli enti sono</w:t>
      </w:r>
      <w:r w:rsidR="001F4BE6" w:rsidRPr="00E86A24">
        <w:rPr>
          <w:rFonts w:ascii="Times New Roman" w:hAnsi="Times New Roman"/>
          <w:color w:val="000000" w:themeColor="text1"/>
        </w:rPr>
        <w:t xml:space="preserve"> priv</w:t>
      </w:r>
      <w:r w:rsidR="001D2A0C" w:rsidRPr="00E86A24">
        <w:rPr>
          <w:rFonts w:ascii="Times New Roman" w:hAnsi="Times New Roman"/>
          <w:color w:val="000000" w:themeColor="text1"/>
        </w:rPr>
        <w:t>i</w:t>
      </w:r>
      <w:r w:rsidR="001F4BE6" w:rsidRPr="00E86A24">
        <w:rPr>
          <w:rFonts w:ascii="Times New Roman" w:hAnsi="Times New Roman"/>
          <w:color w:val="000000" w:themeColor="text1"/>
        </w:rPr>
        <w:t xml:space="preserve"> il quale:</w:t>
      </w:r>
    </w:p>
    <w:p w:rsidR="001F4BE6" w:rsidRPr="00E86A24" w:rsidRDefault="001F4BE6" w:rsidP="007B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1)accerta il quadro di tutti gli organismi partecipati dall'ente, sia di primo livello sia degli ulteriori livelli e lo presenta al </w:t>
      </w:r>
      <w:r w:rsidR="003B63F1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Consiglio comunale 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per deliberare eventuali soppressioni</w:t>
      </w:r>
      <w:r w:rsidR="00E86A24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società</w:t>
      </w:r>
      <w:r w:rsidR="001D2A0C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partecipazioni  societarie </w:t>
      </w:r>
      <w:r w:rsidR="001D2A0C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  indispensabili  al   perseguimento   delle   proprie   finalit</w:t>
      </w:r>
      <w:r w:rsidR="00A224B0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à </w:t>
      </w:r>
      <w:r w:rsidR="001D2A0C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istituzionali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BE6" w:rsidRPr="00E86A24" w:rsidRDefault="001F4BE6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 xml:space="preserve">2) contestualmente verifica, per le partecipazioni societarie, il numero degli amministratori e il numero dei dipendenti e se i primi sono superiori ai secondi predispone </w:t>
      </w:r>
      <w:r w:rsidR="001D2A0C" w:rsidRPr="00E86A24">
        <w:rPr>
          <w:rFonts w:ascii="Times New Roman" w:hAnsi="Times New Roman"/>
          <w:color w:val="000000" w:themeColor="text1"/>
        </w:rPr>
        <w:t xml:space="preserve">ugualmente </w:t>
      </w:r>
      <w:r w:rsidRPr="00E86A24">
        <w:rPr>
          <w:rFonts w:ascii="Times New Roman" w:hAnsi="Times New Roman"/>
          <w:color w:val="000000" w:themeColor="text1"/>
        </w:rPr>
        <w:t xml:space="preserve">gli atti per procedere alla </w:t>
      </w:r>
      <w:r w:rsidR="001D2A0C" w:rsidRPr="00E86A24">
        <w:rPr>
          <w:rFonts w:ascii="Times New Roman" w:hAnsi="Times New Roman"/>
          <w:color w:val="000000" w:themeColor="text1"/>
        </w:rPr>
        <w:t xml:space="preserve">relativa </w:t>
      </w:r>
      <w:r w:rsidRPr="00E86A24">
        <w:rPr>
          <w:rFonts w:ascii="Times New Roman" w:hAnsi="Times New Roman"/>
          <w:color w:val="000000" w:themeColor="text1"/>
        </w:rPr>
        <w:t>soppressione</w:t>
      </w:r>
      <w:r w:rsidR="005827F6">
        <w:rPr>
          <w:rFonts w:ascii="Times New Roman" w:hAnsi="Times New Roman"/>
          <w:color w:val="000000" w:themeColor="text1"/>
        </w:rPr>
        <w:t xml:space="preserve"> o alla fusione con altri enti  o alla dismissione delle quote del Comune.</w:t>
      </w:r>
      <w:r w:rsidRPr="00E86A24">
        <w:rPr>
          <w:rFonts w:ascii="Times New Roman" w:hAnsi="Times New Roman"/>
          <w:color w:val="000000" w:themeColor="text1"/>
        </w:rPr>
        <w:t xml:space="preserve"> </w:t>
      </w:r>
      <w:r w:rsidR="00A224B0" w:rsidRPr="00E86A24">
        <w:rPr>
          <w:rFonts w:ascii="Times New Roman" w:hAnsi="Times New Roman"/>
          <w:color w:val="000000" w:themeColor="text1"/>
        </w:rPr>
        <w:t>Svolge lo stesso riscontro per l’oggetto sociale</w:t>
      </w:r>
      <w:r w:rsidR="004A3DAE" w:rsidRPr="00E86A24">
        <w:rPr>
          <w:rFonts w:ascii="Times New Roman" w:hAnsi="Times New Roman"/>
          <w:color w:val="000000" w:themeColor="text1"/>
        </w:rPr>
        <w:t>;</w:t>
      </w:r>
      <w:r w:rsidR="00A224B0" w:rsidRPr="00E86A24">
        <w:rPr>
          <w:rFonts w:ascii="Times New Roman" w:hAnsi="Times New Roman"/>
          <w:color w:val="000000" w:themeColor="text1"/>
        </w:rPr>
        <w:t xml:space="preserve"> </w:t>
      </w:r>
    </w:p>
    <w:p w:rsidR="004C6147" w:rsidRPr="00E86A24" w:rsidRDefault="001F4BE6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 xml:space="preserve">3) per le partecipazioni rimaste, attraverso la contabilità analitica aziendale e il sistema di controllo di gestione,  valuta l'andamento dei costi degli ultimi </w:t>
      </w:r>
      <w:r w:rsidR="00992266" w:rsidRPr="00E86A24">
        <w:rPr>
          <w:rFonts w:ascii="Times New Roman" w:hAnsi="Times New Roman"/>
          <w:color w:val="000000" w:themeColor="text1"/>
        </w:rPr>
        <w:t>tre</w:t>
      </w:r>
      <w:r w:rsidRPr="00E86A24">
        <w:rPr>
          <w:rFonts w:ascii="Times New Roman" w:hAnsi="Times New Roman"/>
          <w:color w:val="000000" w:themeColor="text1"/>
        </w:rPr>
        <w:t xml:space="preserve"> esercizi, al fine di addivenire ad un piano di  razionalizzazione dei costi</w:t>
      </w:r>
      <w:r w:rsidR="004A3DAE" w:rsidRPr="00E86A24">
        <w:rPr>
          <w:rFonts w:ascii="Times New Roman" w:hAnsi="Times New Roman"/>
          <w:color w:val="000000" w:themeColor="text1"/>
        </w:rPr>
        <w:t>;</w:t>
      </w:r>
      <w:r w:rsidRPr="00E86A24">
        <w:rPr>
          <w:rFonts w:ascii="Times New Roman" w:hAnsi="Times New Roman"/>
          <w:color w:val="000000" w:themeColor="text1"/>
        </w:rPr>
        <w:t xml:space="preserve"> </w:t>
      </w:r>
    </w:p>
    <w:p w:rsidR="001D2A0C" w:rsidRDefault="003B63F1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>4</w:t>
      </w:r>
      <w:r w:rsidR="001D2A0C" w:rsidRPr="00E86A24">
        <w:rPr>
          <w:rFonts w:ascii="Times New Roman" w:hAnsi="Times New Roman"/>
          <w:color w:val="000000" w:themeColor="text1"/>
        </w:rPr>
        <w:t>)</w:t>
      </w:r>
      <w:r w:rsidRPr="00E86A24">
        <w:rPr>
          <w:rFonts w:ascii="Times New Roman" w:hAnsi="Times New Roman"/>
          <w:color w:val="000000" w:themeColor="text1"/>
        </w:rPr>
        <w:t xml:space="preserve"> nel caso di parte</w:t>
      </w:r>
      <w:r w:rsidR="001D2A0C" w:rsidRPr="00E86A24">
        <w:rPr>
          <w:rFonts w:ascii="Times New Roman" w:hAnsi="Times New Roman"/>
          <w:color w:val="000000" w:themeColor="text1"/>
        </w:rPr>
        <w:t>cipazione a società con una pluralità di soggetti pubblici</w:t>
      </w:r>
      <w:r w:rsidR="00246265" w:rsidRPr="00E86A24">
        <w:rPr>
          <w:rFonts w:ascii="Times New Roman" w:hAnsi="Times New Roman"/>
          <w:color w:val="000000" w:themeColor="text1"/>
        </w:rPr>
        <w:t>,</w:t>
      </w:r>
      <w:r w:rsidR="001D2A0C" w:rsidRPr="00E86A24">
        <w:rPr>
          <w:rFonts w:ascii="Times New Roman" w:hAnsi="Times New Roman"/>
          <w:color w:val="000000" w:themeColor="text1"/>
        </w:rPr>
        <w:t xml:space="preserve"> specie se maggioritari rispetto a quella del comune, il percorso deve essere condiviso e deliberato congiuntamente</w:t>
      </w:r>
      <w:r w:rsidR="006B1E42" w:rsidRPr="00E86A24">
        <w:rPr>
          <w:rFonts w:ascii="Times New Roman" w:hAnsi="Times New Roman"/>
          <w:color w:val="000000" w:themeColor="text1"/>
        </w:rPr>
        <w:t>.</w:t>
      </w:r>
      <w:r w:rsidR="001D2A0C" w:rsidRPr="00E86A24">
        <w:rPr>
          <w:rFonts w:ascii="Times New Roman" w:hAnsi="Times New Roman"/>
          <w:color w:val="000000" w:themeColor="text1"/>
        </w:rPr>
        <w:t xml:space="preserve"> </w:t>
      </w:r>
      <w:r w:rsidR="006B1E42" w:rsidRPr="00E86A24">
        <w:rPr>
          <w:rFonts w:ascii="Times New Roman" w:hAnsi="Times New Roman"/>
          <w:color w:val="000000" w:themeColor="text1"/>
        </w:rPr>
        <w:t>P</w:t>
      </w:r>
      <w:r w:rsidR="001D2A0C" w:rsidRPr="00E86A24">
        <w:rPr>
          <w:rFonts w:ascii="Times New Roman" w:hAnsi="Times New Roman"/>
          <w:color w:val="000000" w:themeColor="text1"/>
        </w:rPr>
        <w:t xml:space="preserve">ertanto il comune </w:t>
      </w:r>
      <w:r w:rsidR="00246265" w:rsidRPr="00E86A24">
        <w:rPr>
          <w:rFonts w:ascii="Times New Roman" w:hAnsi="Times New Roman"/>
          <w:color w:val="000000" w:themeColor="text1"/>
        </w:rPr>
        <w:t>dovrà  attiva</w:t>
      </w:r>
      <w:r w:rsidR="006B1E42" w:rsidRPr="00E86A24">
        <w:rPr>
          <w:rFonts w:ascii="Times New Roman" w:hAnsi="Times New Roman"/>
          <w:color w:val="000000" w:themeColor="text1"/>
        </w:rPr>
        <w:t>rsi</w:t>
      </w:r>
      <w:r w:rsidR="00246265" w:rsidRPr="00E86A24">
        <w:rPr>
          <w:rFonts w:ascii="Times New Roman" w:hAnsi="Times New Roman"/>
          <w:color w:val="000000" w:themeColor="text1"/>
        </w:rPr>
        <w:t xml:space="preserve"> </w:t>
      </w:r>
      <w:r w:rsidR="006B1E42" w:rsidRPr="00E86A24">
        <w:rPr>
          <w:rFonts w:ascii="Times New Roman" w:hAnsi="Times New Roman"/>
          <w:color w:val="000000" w:themeColor="text1"/>
        </w:rPr>
        <w:t>e interloquire con</w:t>
      </w:r>
      <w:r w:rsidR="00992266" w:rsidRPr="00E86A24">
        <w:rPr>
          <w:rFonts w:ascii="Times New Roman" w:hAnsi="Times New Roman"/>
          <w:color w:val="000000" w:themeColor="text1"/>
        </w:rPr>
        <w:t xml:space="preserve"> g</w:t>
      </w:r>
      <w:r w:rsidR="005827F6">
        <w:rPr>
          <w:rFonts w:ascii="Times New Roman" w:hAnsi="Times New Roman"/>
          <w:color w:val="000000" w:themeColor="text1"/>
        </w:rPr>
        <w:t>li altri enti, come da prospetto concordato o comunque da azioni concordate:</w:t>
      </w:r>
    </w:p>
    <w:p w:rsidR="004D61E8" w:rsidRDefault="004D61E8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</w:p>
    <w:tbl>
      <w:tblPr>
        <w:tblStyle w:val="Grigliatabella"/>
        <w:tblW w:w="99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1803"/>
        <w:gridCol w:w="1559"/>
        <w:gridCol w:w="1524"/>
      </w:tblGrid>
      <w:tr w:rsidR="004D61E8" w:rsidRPr="00E86A24" w:rsidTr="009F156A">
        <w:tc>
          <w:tcPr>
            <w:tcW w:w="1526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SOCIETA’ </w:t>
            </w:r>
          </w:p>
        </w:tc>
        <w:tc>
          <w:tcPr>
            <w:tcW w:w="1417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PARTECIPAZIONE 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AZIONARIA DEL COMUNE DIRETTA O INDIRETTA</w:t>
            </w:r>
          </w:p>
        </w:tc>
        <w:tc>
          <w:tcPr>
            <w:tcW w:w="2127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ALTRI ENTI PARTECIPANTI </w:t>
            </w:r>
          </w:p>
        </w:tc>
        <w:tc>
          <w:tcPr>
            <w:tcW w:w="1803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OGGETTO SOCIALE </w:t>
            </w:r>
          </w:p>
        </w:tc>
        <w:tc>
          <w:tcPr>
            <w:tcW w:w="1559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NUMERO </w:t>
            </w:r>
          </w:p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AMMINIST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RATORI </w:t>
            </w:r>
          </w:p>
        </w:tc>
        <w:tc>
          <w:tcPr>
            <w:tcW w:w="1524" w:type="dxa"/>
          </w:tcPr>
          <w:p w:rsidR="004D61E8" w:rsidRPr="00331627" w:rsidRDefault="004D61E8" w:rsidP="009F15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UMERO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DIPENDEN</w:t>
            </w:r>
            <w:r w:rsidRPr="00331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TI 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AER AMBIENTE ENERGIA RISORSE S.P.A.</w:t>
            </w:r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10,62%</w:t>
            </w:r>
          </w:p>
        </w:tc>
        <w:tc>
          <w:tcPr>
            <w:tcW w:w="2127" w:type="dxa"/>
          </w:tcPr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1,17%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16,18%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45,87%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14,14%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0,94%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-Figline –Incisa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V.no 0,56%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-Rignano su Arno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0,18%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-Reggello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0,36%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S.c.r.l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9,98%</w:t>
            </w:r>
          </w:p>
        </w:tc>
        <w:tc>
          <w:tcPr>
            <w:tcW w:w="1803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Gestione servizio raccolta, trasporto e smaltimento rifiuti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A.E.R. Impianti s.r.l.</w:t>
            </w:r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5%</w:t>
            </w:r>
          </w:p>
        </w:tc>
        <w:tc>
          <w:tcPr>
            <w:tcW w:w="2127" w:type="dxa"/>
          </w:tcPr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Comune: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Londa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1,15%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Pelago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12,29%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Pontassieve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41,65%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Rufina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12,02%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San Godenzo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0,91%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Rignano Sull’Arno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4,18%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Figline e Incisa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V.Arno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3,02%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Reggello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7,75%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A.E.R. spa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2,01%</w:t>
            </w:r>
          </w:p>
          <w:p w:rsidR="004D61E8" w:rsidRPr="002701E7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Valdisieve</w:t>
            </w:r>
            <w:proofErr w:type="spellEnd"/>
            <w:r w:rsidRPr="0027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S.C.R.L.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10,02%</w:t>
            </w:r>
          </w:p>
        </w:tc>
        <w:tc>
          <w:tcPr>
            <w:tcW w:w="1803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Attività di stoccaggio rifiuti solidi urbani e materiale da raccolta differenziata. Realizzazione impianto di termovalorizzazione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Publiacqua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 0,242%</w:t>
            </w:r>
          </w:p>
        </w:tc>
        <w:tc>
          <w:tcPr>
            <w:tcW w:w="2127" w:type="dxa"/>
          </w:tcPr>
          <w:p w:rsidR="004D61E8" w:rsidRPr="00D72A6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Soci Pubblici 60% così suddivisi: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0,43%,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Consiag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24,94, Comune Firenze 21,67, ALTRI COMUNI 12,96 così come segue: Comune Agliana 0,06%, Comune Bagno a Ripoli 0,01%, Comune Barberino di Mugello 0,06%, Comune Barberino Val d’Elsa 0,01%, Comune Borgo San Lorenzo 0,06%, Comune Calenzano 0,06%, Comune Campi Bisenzio 0,06%, Comune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Cantagallo 0,06%, Comune Carmignano 0,06%, Comune Castelfranco di Sopra 0,14%, Comune Cavriglia 0,38%, Comune Figline Valdarno 0,83%, Comune Greve in Chianti 0,01%, Comune Impruneta 0,01%, Comune Incisa Val d’Arno 0,28%, Comune Lastra a Signa 0,06%, Comune Londa 0,08%; Comune Loro Ciuffenna 0,25%, Comune Montemurlo 0,06%, Comune Montale 0,06%, Comune Montevarchi 0,06%, Comune Pelago 0,37%, Comune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0,27%, Comune Pistoia 3,95%, Comune Poggio a Caiano 0,06%, Comune Pontassieve 1,05%, Comune Prato 0,06%, Comune Quarrata 0,06%, Comune Reggello 0,70%, Comune Rignano sull’Arno 0,36%, Comune Rufina 0,33%, Comune San Casciano 0,06%, Comune San Giovanni Valdarno 0,87%, Comune San Godenzo 0,06%, Comune San Piero a Sieve 0,06%, Comune Sambuca Pistoiese 0,06%, Comune Scandicci 0,06%, Comune Scarperia 0,06%, Comune Serravalle Pistoiese 0,45%, Comune Sesto Fiorentino 0,06%, Comune Signa 0,06%, Comune Tavarnelle Val di Pesa 0,01%, Comune Terranova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Bracciolini 0,55%, Comune Vaglia 0,06%, Comune Vaiano 0,06%, Comune Vernio 0,06%,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Comune di Vicchio 0,36%,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Acque Blu Fiorentine 40% così suddivise: Acea spa 68,99%,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Ondeo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Italia spa 22,83%, MPS Investments  spa 8,00%, Consorzio Cooperative Costruzioni  - C.C.C. società cooperativa,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Vianini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Lavori spa, Consorzio Toscano Cooperative – C.T.C. società cooperativa 0,18%</w:t>
            </w:r>
          </w:p>
        </w:tc>
        <w:tc>
          <w:tcPr>
            <w:tcW w:w="1803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idrico integrato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636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Toscana Energia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0,01%</w:t>
            </w:r>
          </w:p>
        </w:tc>
        <w:tc>
          <w:tcPr>
            <w:tcW w:w="2127" w:type="dxa"/>
          </w:tcPr>
          <w:p w:rsidR="004D61E8" w:rsidRPr="00D72A6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Banca di Pisa e Fornacette Credito Cooperativo 0,0809%, Banca Monte dei Paschi di Siena 0,5868%, Italgas (gruppo Snam) 48,0834%, Soci Pubblici 51,25% così suddivisi:  </w:t>
            </w:r>
          </w:p>
          <w:p w:rsidR="004D61E8" w:rsidRPr="00D72A6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4D61E8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Altopascio  0,6945%-Bagno a Ripoli 0,0652%-Barberino Val d’Elsa  0,0069%-Barga  0,0153%-Bientina  0,3411%- Borgo San Lorenzo 0,0044% -Buggiano 0,0147-Buti  0,3030%-Calci  0,2986%-Calcinaia  0,4023%-Camaiore  0,1019%-Campi Bisenzio 0,0004% -Capannori  0,1977%-Casciana Terme 0,0928%-Cascina 1,9205%-Castelfranco 0,0231%-Pian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  0,0368%-Castelfranco di Sotto  0.7577%-Castelnuovo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Garfagnana  0,0092% -Chianni  0,1622%-Chiesina Uzzanese 0,0040%-Crespina Lorenzana 0,1393%- Fauglia  0,1220% -Fiesole 0,0035%-Figline e Incisa in Val Arno 0,0087% Firenze  20,6099%-Gaiole in Chianti  0,0022%-Greve in Chianti  0,0276%-Impruneta  0,0281%-Lajatico 0,1551%-Lamporecchio 0,0083%  Larciano  0,0066%-Lari 0,6645%-Laterina  0,0064%-Londa  0,0065%-Lorenzana 0,1218%-Loro Ciuffenna 0,0114% -Massa e Cozzile 0,0145% -Massarosa  1,1682%-Monsummano Terme  0,0330%-Montecarlo  0,2175%-Montecatini Terme 0,0549%-Orciano Pisano 0,0555% -Palaia 0,1982% -Peccioli  0,5895%-Pelago  0,0116% -Pergine Valdarno  0,0222%-Pescia   0,0299% - Pian di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Scò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0,0368% - Pietrasanta  0,0690% -Pieve a Nievole  0,0168% - Pieve Fosciana  0,0007% - Pisa  4,1932% - Ponsacco  0,5730%- Pontassieve  0,0070%- Ponte Buggianese  0,0113% - Pontedera  0,0062% - Porcari  0,0132%- Radda in Chianti 0,0026%-Reggello 0,0087%- Rignano sull’Arno 0,0397%  Rufina  0,0220%- San Casciano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Val di Pesa  0,0318%- San Giuliano Terme  1,7520%- San Godenzo  0,0017%- San Miniato  1,3003%- Santa Croce sull’Arno  0,7747%-Santa Luce 0,1259%-  Scarperia e San Piero 0,0440%-Tavarnelle Val di Pesa  0,0148%-Terricciola  0,2250%-Uzzano 0,0084% Vaglia  0,0026% - Vecchiano  0,0744%-Viareggio  1,2668% -</w:t>
            </w:r>
          </w:p>
          <w:p w:rsidR="004D61E8" w:rsidRDefault="004D61E8" w:rsidP="009F156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Vicchio </w:t>
            </w:r>
            <w:r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0,0168%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</w:p>
          <w:p w:rsidR="004D61E8" w:rsidRPr="00D72A6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Vicopisano 0,3976% -Volterra 0,0295% - Provincia di Pisa  0,0928% - </w:t>
            </w:r>
            <w:proofErr w:type="spellStart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Publiservizi</w:t>
            </w:r>
            <w:proofErr w:type="spellEnd"/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10,3787%</w:t>
            </w:r>
          </w:p>
        </w:tc>
        <w:tc>
          <w:tcPr>
            <w:tcW w:w="1803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Gestione servizio distribuzione gas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404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Casa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s.p.a.</w:t>
            </w:r>
            <w:proofErr w:type="spellEnd"/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4D61E8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Firenze 59,00%, Comune Sesto Fiorentino 5,00%, Comune Campi Bisenzio 4,00%, Comune Scandicci 4,00%, Comune Bagno a Ripoli 2,00%, Comune Borgo San Lorenzo 2,00%, Comune Lastra a Signa 2,00%, Comune Pontassieve 2,00%, Comune Scarperia e San Piero 2,00%, Comune Figline e Incisa Valdarno 1,50%, Comune Barberino di Mugello 1,00%, Comune Calenzano 1,00%, Comune Fiesole 1,00%, Comune Firenzuola 1,00%, Comune Greve in Chianti 1,00%, Comune Impruneta 1,00%, Comune Marradi 1,00%, Comune Reggello 1,00%, Comune Rignano sull’Arno 1,00%, Comune San </w:t>
            </w: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Casciano Val di Pesa 1,00%, Comune Signa 1,00; Comune Barberino Val d’Elsa 0,50%, </w:t>
            </w:r>
          </w:p>
          <w:p w:rsidR="004D61E8" w:rsidRPr="00567E65" w:rsidRDefault="004D61E8" w:rsidP="009F156A">
            <w:pPr>
              <w:jc w:val="both"/>
              <w:rPr>
                <w:rFonts w:ascii="Arial" w:eastAsia="Times New Roman" w:hAnsi="Arial" w:cs="Arial"/>
              </w:rPr>
            </w:pPr>
            <w:r w:rsidRPr="00D72A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Londa 0,50%, Comune Palazzuolo Sul Senio 0,50%, Comune Pelago 0,50%, Comune Rufina 0,50%, Comune San Godenzo 0,50%, Comune Tavarnelle 0,50%, Comune Vaglia 0,50%</w:t>
            </w:r>
            <w:r w:rsidRPr="00567E6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F7C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Vicchio 1,00%</w:t>
            </w:r>
          </w:p>
        </w:tc>
        <w:tc>
          <w:tcPr>
            <w:tcW w:w="1803" w:type="dxa"/>
          </w:tcPr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Recupero, manutenzione e gestione del patrimonio di edilizia residenziale pubblica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4D61E8" w:rsidRPr="00E86A24" w:rsidTr="009F156A">
        <w:tc>
          <w:tcPr>
            <w:tcW w:w="1526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TO.RO.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s.c.a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r.l</w:t>
            </w:r>
            <w:proofErr w:type="spellEnd"/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Diretta 0,50%</w:t>
            </w:r>
          </w:p>
        </w:tc>
        <w:tc>
          <w:tcPr>
            <w:tcW w:w="2127" w:type="dxa"/>
          </w:tcPr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 di Firenze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Commercio Firenze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Camera di Commercio Forlì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Comune di Forlì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Amm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</w:t>
            </w:r>
            <w:proofErr w:type="spellEnd"/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 di Forlì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Cassa di Risparmio Forlì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Comunità Montana Acqua Cheta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 di: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-Castrocaro Terme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-Dovadola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-Rocca San Casciano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-Portico e San Benedetto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-Pontassieve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-Rufina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-Pelago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-San Godenzo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-Londa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-Fiesole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Comunità Montana Montagna Fiorentina (ora Unione  Montagna Fiorentina)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Ente Cassa di Risparmio di Firenze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17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Associazione Industriali Provincia Forlì</w:t>
            </w:r>
          </w:p>
          <w:p w:rsidR="004D61E8" w:rsidRPr="005E1771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:rsidR="004D61E8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Miglioramento viario S.S. 67 Tosco-romagnola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Promozione, coordinamento e realizzazione di studi, progetti ed iniziative di miglioramento viario fra la Regione Toscana e l’Area Romagnola. Promozione sviluppo socio-economico del tratto Firenze/Forlì della S.S. 67</w:t>
            </w:r>
          </w:p>
        </w:tc>
        <w:tc>
          <w:tcPr>
            <w:tcW w:w="1559" w:type="dxa"/>
          </w:tcPr>
          <w:p w:rsidR="004D61E8" w:rsidRPr="00E86A24" w:rsidRDefault="004D61E8" w:rsidP="009F15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4D61E8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D61E8" w:rsidRPr="00E86A24" w:rsidRDefault="004D61E8" w:rsidP="009F15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66B02" w:rsidRDefault="00666B02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</w:p>
    <w:p w:rsidR="00666B02" w:rsidRDefault="00666B02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</w:p>
    <w:p w:rsidR="00666B02" w:rsidRDefault="00666B02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</w:p>
    <w:p w:rsidR="00666B02" w:rsidRDefault="00666B02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</w:p>
    <w:p w:rsidR="009C4700" w:rsidRPr="00E86A24" w:rsidRDefault="009C4700" w:rsidP="007B17AB">
      <w:pPr>
        <w:pStyle w:val="NormaleWeb"/>
        <w:jc w:val="both"/>
        <w:rPr>
          <w:rFonts w:ascii="Times New Roman" w:hAnsi="Times New Roman"/>
          <w:color w:val="000000" w:themeColor="text1"/>
        </w:rPr>
      </w:pPr>
      <w:r w:rsidRPr="00E86A24">
        <w:rPr>
          <w:rFonts w:ascii="Times New Roman" w:hAnsi="Times New Roman"/>
          <w:color w:val="000000" w:themeColor="text1"/>
        </w:rPr>
        <w:t xml:space="preserve">5) valuta, unitamente agli </w:t>
      </w:r>
      <w:r w:rsidR="00B85F6D" w:rsidRPr="00E86A24">
        <w:rPr>
          <w:rFonts w:ascii="Times New Roman" w:hAnsi="Times New Roman"/>
          <w:color w:val="000000" w:themeColor="text1"/>
        </w:rPr>
        <w:t xml:space="preserve">altri </w:t>
      </w:r>
      <w:r w:rsidRPr="00E86A24">
        <w:rPr>
          <w:rFonts w:ascii="Times New Roman" w:hAnsi="Times New Roman"/>
          <w:color w:val="000000" w:themeColor="text1"/>
        </w:rPr>
        <w:t xml:space="preserve">enti, ipotesi di aggregazione, fusione, scissione per ciascuna partecipata, in modo da avviare ottimizzazioni di tipo "territoriale”;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0"/>
        <w:gridCol w:w="1350"/>
        <w:gridCol w:w="1936"/>
        <w:gridCol w:w="2110"/>
        <w:gridCol w:w="1230"/>
        <w:gridCol w:w="1430"/>
      </w:tblGrid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SOCIETA’ </w:t>
            </w: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OGGETTO SOCIALE </w:t>
            </w: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AMBITO TERRITORIALE </w:t>
            </w: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AGGREGAZIONE</w:t>
            </w: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FUSIONE </w:t>
            </w:r>
          </w:p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SCISSIONE</w:t>
            </w:r>
          </w:p>
        </w:tc>
      </w:tr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A24" w:rsidRPr="00E86A24" w:rsidTr="00224E6B">
        <w:tc>
          <w:tcPr>
            <w:tcW w:w="1246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5F6D" w:rsidRPr="00E86A24" w:rsidRDefault="00B85F6D" w:rsidP="007B17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66E0" w:rsidRPr="00E86A24" w:rsidRDefault="003E66E0" w:rsidP="007B17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4700" w:rsidRPr="00E86A24" w:rsidRDefault="009C4700" w:rsidP="007B17AB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6) per i servizi pubblici a rilevanza economica a rete (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ciclo idrico integrato, igiene ambientale, trasporto pubblico locale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) verifica l’apparten</w:t>
      </w:r>
      <w:r w:rsidR="00A61379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all’ATO e per questi servizi gestiti dall’ente tramite affidamento in </w:t>
      </w:r>
      <w:proofErr w:type="spellStart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provvede</w:t>
      </w:r>
      <w:r w:rsidR="004A3DAE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00" w:rsidRPr="00E86A24" w:rsidRDefault="009C4700" w:rsidP="009C470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-ad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accantonare, </w:t>
      </w:r>
      <w:r w:rsidR="0058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ai sensi dell’art. 1 co 609 L. 190/2014 </w:t>
      </w: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contestualmente all’affidamento e successivamente per ogni triennio (di durata del piano economico finanziario) nel proprio bilancio -pro quota- una somma pari all’impegno finanziario corrispondente al capitale proprio previsto nel triennio;</w:t>
      </w:r>
    </w:p>
    <w:p w:rsidR="00224E6B" w:rsidRPr="00E86A24" w:rsidRDefault="009C4700" w:rsidP="00F77DDA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-a consolidare il proprio bilancio (consuntivo) con quello del soggetto affidatario in </w:t>
      </w:r>
      <w:proofErr w:type="spellStart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secondo quanto disposto in tema di consolidamento dei conti come previsto dall’art. 147 quater del </w:t>
      </w:r>
      <w:proofErr w:type="spellStart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267/2000</w:t>
      </w:r>
      <w:r w:rsidR="004A3DAE"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24E6B" w:rsidRPr="00E86A24" w:rsidRDefault="00224E6B" w:rsidP="00F77DD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9C470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coinvolge il focus </w:t>
      </w:r>
      <w:proofErr w:type="spellStart"/>
      <w:r w:rsidR="009C470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="009C4700"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-anche di tipo politico intermedio- per valutare il Piano finale da adottare. </w:t>
      </w:r>
    </w:p>
    <w:p w:rsidR="004A3DAE" w:rsidRPr="00E86A24" w:rsidRDefault="004A3DAE" w:rsidP="00F77DD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Dicomano lì   </w:t>
      </w:r>
      <w:r w:rsidR="00076455">
        <w:rPr>
          <w:rFonts w:ascii="Times New Roman" w:hAnsi="Times New Roman" w:cs="Times New Roman"/>
          <w:color w:val="000000" w:themeColor="text1"/>
          <w:sz w:val="24"/>
          <w:szCs w:val="24"/>
        </w:rPr>
        <w:t>30.03.2015</w:t>
      </w:r>
    </w:p>
    <w:p w:rsidR="004A3DAE" w:rsidRPr="00E86A24" w:rsidRDefault="004A3DAE" w:rsidP="00F77DDA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IL SINDACO</w:t>
      </w:r>
    </w:p>
    <w:p w:rsidR="004D61E8" w:rsidRDefault="004A3DAE" w:rsidP="005827F6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Stefano </w:t>
      </w:r>
      <w:proofErr w:type="spellStart"/>
      <w:r w:rsidRPr="00E86A24">
        <w:rPr>
          <w:rFonts w:ascii="Times New Roman" w:hAnsi="Times New Roman" w:cs="Times New Roman"/>
          <w:color w:val="000000" w:themeColor="text1"/>
          <w:sz w:val="24"/>
          <w:szCs w:val="24"/>
        </w:rPr>
        <w:t>Passiatore</w:t>
      </w:r>
      <w:proofErr w:type="spellEnd"/>
    </w:p>
    <w:p w:rsidR="004D61E8" w:rsidRDefault="00785FB0" w:rsidP="005827F6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D9FC851" wp14:editId="75D4BF90">
            <wp:extent cx="2400300" cy="990600"/>
            <wp:effectExtent l="0" t="0" r="0" b="0"/>
            <wp:docPr id="2" name="Immagine 2" descr="C:\Users\donatellab\Desktop\firma_sind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ellab\Desktop\firma_sinda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1E8" w:rsidSect="00EA5D5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3B" w:rsidRDefault="0027413B" w:rsidP="006968D5">
      <w:pPr>
        <w:spacing w:after="0" w:line="240" w:lineRule="auto"/>
      </w:pPr>
      <w:r>
        <w:separator/>
      </w:r>
    </w:p>
  </w:endnote>
  <w:endnote w:type="continuationSeparator" w:id="0">
    <w:p w:rsidR="0027413B" w:rsidRDefault="0027413B" w:rsidP="006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le_tex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3B" w:rsidRDefault="0027413B" w:rsidP="006968D5">
      <w:pPr>
        <w:spacing w:after="0" w:line="240" w:lineRule="auto"/>
      </w:pPr>
      <w:r>
        <w:separator/>
      </w:r>
    </w:p>
  </w:footnote>
  <w:footnote w:type="continuationSeparator" w:id="0">
    <w:p w:rsidR="0027413B" w:rsidRDefault="0027413B" w:rsidP="006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6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b/>
        <w:sz w:val="36"/>
      </w:rPr>
    </w:pPr>
    <w:r w:rsidRPr="00E86A24">
      <w:rPr>
        <w:b/>
        <w:noProof/>
      </w:rPr>
      <w:drawing>
        <wp:anchor distT="0" distB="0" distL="114300" distR="114300" simplePos="0" relativeHeight="251658240" behindDoc="0" locked="0" layoutInCell="0" allowOverlap="1" wp14:anchorId="3E79A59B" wp14:editId="5BD30C0A">
          <wp:simplePos x="0" y="0"/>
          <wp:positionH relativeFrom="column">
            <wp:posOffset>-153670</wp:posOffset>
          </wp:positionH>
          <wp:positionV relativeFrom="paragraph">
            <wp:posOffset>-57150</wp:posOffset>
          </wp:positionV>
          <wp:extent cx="676275" cy="829945"/>
          <wp:effectExtent l="0" t="0" r="9525" b="8255"/>
          <wp:wrapTopAndBottom/>
          <wp:docPr id="1" name="Immagine 1" descr="C:\Documenti\logoc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logocol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36"/>
      </w:rPr>
      <w:t>Comune di Dicomano</w:t>
    </w:r>
  </w:p>
  <w:p w:rsidR="00D72A6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Provincia di Firenze</w:t>
    </w:r>
  </w:p>
  <w:p w:rsidR="00D72A64" w:rsidRPr="00B23ED4" w:rsidRDefault="00D72A64" w:rsidP="00E86A24">
    <w:pPr>
      <w:pStyle w:val="Intestazione"/>
      <w:tabs>
        <w:tab w:val="clear" w:pos="9638"/>
        <w:tab w:val="right" w:pos="10065"/>
      </w:tabs>
      <w:ind w:left="1276" w:right="4251"/>
      <w:jc w:val="center"/>
      <w:rPr>
        <w:rFonts w:ascii="Arial" w:hAnsi="Arial"/>
        <w:sz w:val="20"/>
      </w:rPr>
    </w:pPr>
    <w:proofErr w:type="spellStart"/>
    <w:r w:rsidRPr="00B23ED4">
      <w:rPr>
        <w:rFonts w:ascii="Arial" w:hAnsi="Arial"/>
        <w:sz w:val="20"/>
      </w:rPr>
      <w:t>Pec</w:t>
    </w:r>
    <w:proofErr w:type="spellEnd"/>
    <w:r w:rsidRPr="00B23ED4">
      <w:rPr>
        <w:rFonts w:ascii="Arial" w:hAnsi="Arial"/>
        <w:sz w:val="20"/>
      </w:rPr>
      <w:t>: comune.dicomano@postacert.toscana.it</w:t>
    </w:r>
  </w:p>
  <w:p w:rsidR="00D72A64" w:rsidRDefault="00D72A64" w:rsidP="00E86A24">
    <w:pPr>
      <w:pStyle w:val="Intestazione"/>
    </w:pPr>
  </w:p>
  <w:p w:rsidR="00D72A64" w:rsidRPr="00E86A24" w:rsidRDefault="00D72A6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D5"/>
    <w:multiLevelType w:val="hybridMultilevel"/>
    <w:tmpl w:val="C4547B76"/>
    <w:lvl w:ilvl="0" w:tplc="FCBA1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D2929"/>
    <w:multiLevelType w:val="hybridMultilevel"/>
    <w:tmpl w:val="D8E67E7C"/>
    <w:lvl w:ilvl="0" w:tplc="54C68B56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E5036"/>
    <w:multiLevelType w:val="hybridMultilevel"/>
    <w:tmpl w:val="48D0AD32"/>
    <w:lvl w:ilvl="0" w:tplc="697E6320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BC"/>
    <w:rsid w:val="000546C3"/>
    <w:rsid w:val="00076455"/>
    <w:rsid w:val="000B6A57"/>
    <w:rsid w:val="000B78F6"/>
    <w:rsid w:val="000C3528"/>
    <w:rsid w:val="000F0920"/>
    <w:rsid w:val="0013336B"/>
    <w:rsid w:val="00134535"/>
    <w:rsid w:val="00136ABC"/>
    <w:rsid w:val="00140705"/>
    <w:rsid w:val="00176AD2"/>
    <w:rsid w:val="00190C2D"/>
    <w:rsid w:val="001B1103"/>
    <w:rsid w:val="001B4064"/>
    <w:rsid w:val="001D2A0C"/>
    <w:rsid w:val="001F4BE6"/>
    <w:rsid w:val="001F6C6E"/>
    <w:rsid w:val="002235F5"/>
    <w:rsid w:val="00224E6B"/>
    <w:rsid w:val="00230F65"/>
    <w:rsid w:val="00241EDC"/>
    <w:rsid w:val="00246265"/>
    <w:rsid w:val="002627C5"/>
    <w:rsid w:val="0026611F"/>
    <w:rsid w:val="002701E7"/>
    <w:rsid w:val="002717C1"/>
    <w:rsid w:val="0027413B"/>
    <w:rsid w:val="00282899"/>
    <w:rsid w:val="002B776D"/>
    <w:rsid w:val="002C7F0C"/>
    <w:rsid w:val="00326C12"/>
    <w:rsid w:val="00331627"/>
    <w:rsid w:val="00336D61"/>
    <w:rsid w:val="00361094"/>
    <w:rsid w:val="0039559C"/>
    <w:rsid w:val="003B63F1"/>
    <w:rsid w:val="003C0BF6"/>
    <w:rsid w:val="003C79BA"/>
    <w:rsid w:val="003E66E0"/>
    <w:rsid w:val="003F1A10"/>
    <w:rsid w:val="003F1BA2"/>
    <w:rsid w:val="003F7F3A"/>
    <w:rsid w:val="004218E5"/>
    <w:rsid w:val="0043657C"/>
    <w:rsid w:val="004A124A"/>
    <w:rsid w:val="004A3DAE"/>
    <w:rsid w:val="004A71E2"/>
    <w:rsid w:val="004A7EBD"/>
    <w:rsid w:val="004A7ED1"/>
    <w:rsid w:val="004C6147"/>
    <w:rsid w:val="004D3F8B"/>
    <w:rsid w:val="004D61E8"/>
    <w:rsid w:val="0053279A"/>
    <w:rsid w:val="005419D2"/>
    <w:rsid w:val="0054423F"/>
    <w:rsid w:val="00563B42"/>
    <w:rsid w:val="005656E7"/>
    <w:rsid w:val="00567F84"/>
    <w:rsid w:val="005827F6"/>
    <w:rsid w:val="005935B0"/>
    <w:rsid w:val="00596A16"/>
    <w:rsid w:val="005C0B9A"/>
    <w:rsid w:val="005D1491"/>
    <w:rsid w:val="005D76C3"/>
    <w:rsid w:val="005E1771"/>
    <w:rsid w:val="005E3E85"/>
    <w:rsid w:val="005E7B18"/>
    <w:rsid w:val="0060660E"/>
    <w:rsid w:val="006153B0"/>
    <w:rsid w:val="00636971"/>
    <w:rsid w:val="00636CEC"/>
    <w:rsid w:val="0064591D"/>
    <w:rsid w:val="00665250"/>
    <w:rsid w:val="00665793"/>
    <w:rsid w:val="00666B02"/>
    <w:rsid w:val="0069142B"/>
    <w:rsid w:val="006968D5"/>
    <w:rsid w:val="006A5F95"/>
    <w:rsid w:val="006B0AB4"/>
    <w:rsid w:val="006B1E42"/>
    <w:rsid w:val="006C7F96"/>
    <w:rsid w:val="006D5546"/>
    <w:rsid w:val="006E62D6"/>
    <w:rsid w:val="007837C4"/>
    <w:rsid w:val="007844EA"/>
    <w:rsid w:val="00784EB2"/>
    <w:rsid w:val="00785FB0"/>
    <w:rsid w:val="007B17AB"/>
    <w:rsid w:val="007D0B02"/>
    <w:rsid w:val="007D6A06"/>
    <w:rsid w:val="007D7A24"/>
    <w:rsid w:val="007E7B9B"/>
    <w:rsid w:val="007F3541"/>
    <w:rsid w:val="007F7CAB"/>
    <w:rsid w:val="00822160"/>
    <w:rsid w:val="00823954"/>
    <w:rsid w:val="00855FD1"/>
    <w:rsid w:val="00857513"/>
    <w:rsid w:val="00872F2B"/>
    <w:rsid w:val="00891A1B"/>
    <w:rsid w:val="008A03E2"/>
    <w:rsid w:val="008D33EA"/>
    <w:rsid w:val="008E40C7"/>
    <w:rsid w:val="00902471"/>
    <w:rsid w:val="00910EDC"/>
    <w:rsid w:val="00914481"/>
    <w:rsid w:val="009255F1"/>
    <w:rsid w:val="009455D2"/>
    <w:rsid w:val="009523D0"/>
    <w:rsid w:val="00992266"/>
    <w:rsid w:val="009A06FE"/>
    <w:rsid w:val="009A28D3"/>
    <w:rsid w:val="009A5930"/>
    <w:rsid w:val="009C4700"/>
    <w:rsid w:val="009C7DA2"/>
    <w:rsid w:val="009E0163"/>
    <w:rsid w:val="009E1DA1"/>
    <w:rsid w:val="009F74E5"/>
    <w:rsid w:val="00A00283"/>
    <w:rsid w:val="00A00FEA"/>
    <w:rsid w:val="00A040E3"/>
    <w:rsid w:val="00A21A92"/>
    <w:rsid w:val="00A224B0"/>
    <w:rsid w:val="00A41AA1"/>
    <w:rsid w:val="00A61379"/>
    <w:rsid w:val="00AC02EA"/>
    <w:rsid w:val="00AC7C1B"/>
    <w:rsid w:val="00AD115F"/>
    <w:rsid w:val="00AE4902"/>
    <w:rsid w:val="00B07BD7"/>
    <w:rsid w:val="00B227E0"/>
    <w:rsid w:val="00B32161"/>
    <w:rsid w:val="00B541AD"/>
    <w:rsid w:val="00B71F40"/>
    <w:rsid w:val="00B74D23"/>
    <w:rsid w:val="00B77DA5"/>
    <w:rsid w:val="00B85F6D"/>
    <w:rsid w:val="00B91645"/>
    <w:rsid w:val="00BA36E9"/>
    <w:rsid w:val="00BF1109"/>
    <w:rsid w:val="00C12548"/>
    <w:rsid w:val="00C12AA3"/>
    <w:rsid w:val="00C15DE5"/>
    <w:rsid w:val="00C44AC1"/>
    <w:rsid w:val="00C61775"/>
    <w:rsid w:val="00C812A5"/>
    <w:rsid w:val="00C92F8F"/>
    <w:rsid w:val="00CB7580"/>
    <w:rsid w:val="00CC3C93"/>
    <w:rsid w:val="00CF67B0"/>
    <w:rsid w:val="00D23DCA"/>
    <w:rsid w:val="00D3515F"/>
    <w:rsid w:val="00D72A64"/>
    <w:rsid w:val="00DA0A45"/>
    <w:rsid w:val="00DA1679"/>
    <w:rsid w:val="00DA5B30"/>
    <w:rsid w:val="00DB24F3"/>
    <w:rsid w:val="00DD0F6D"/>
    <w:rsid w:val="00DD125A"/>
    <w:rsid w:val="00E00CBC"/>
    <w:rsid w:val="00E1391D"/>
    <w:rsid w:val="00E378A1"/>
    <w:rsid w:val="00E41135"/>
    <w:rsid w:val="00E5656E"/>
    <w:rsid w:val="00E701E6"/>
    <w:rsid w:val="00E8466C"/>
    <w:rsid w:val="00E86A24"/>
    <w:rsid w:val="00EA2003"/>
    <w:rsid w:val="00EA5D5C"/>
    <w:rsid w:val="00EB4E35"/>
    <w:rsid w:val="00EC13E6"/>
    <w:rsid w:val="00EE72E1"/>
    <w:rsid w:val="00EF534C"/>
    <w:rsid w:val="00F100BA"/>
    <w:rsid w:val="00F42A23"/>
    <w:rsid w:val="00F67F81"/>
    <w:rsid w:val="00F77DDA"/>
    <w:rsid w:val="00F83A49"/>
    <w:rsid w:val="00FA4A69"/>
    <w:rsid w:val="00FC0967"/>
    <w:rsid w:val="00FC22E8"/>
    <w:rsid w:val="00FC54A7"/>
    <w:rsid w:val="00FD1CB6"/>
    <w:rsid w:val="00FE2CA3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6968D5"/>
  </w:style>
  <w:style w:type="paragraph" w:styleId="Paragrafoelenco">
    <w:name w:val="List Paragraph"/>
    <w:basedOn w:val="Normale"/>
    <w:uiPriority w:val="34"/>
    <w:qFormat/>
    <w:rsid w:val="009523D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C3C93"/>
    <w:pPr>
      <w:spacing w:before="100" w:beforeAutospacing="1" w:after="144" w:line="324" w:lineRule="atLeast"/>
    </w:pPr>
    <w:rPr>
      <w:rFonts w:ascii="sole_text" w:eastAsia="Times New Roman" w:hAnsi="sole_text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28D3"/>
  </w:style>
  <w:style w:type="paragraph" w:styleId="Pidipagina">
    <w:name w:val="footer"/>
    <w:basedOn w:val="Normale"/>
    <w:link w:val="PidipaginaCarattere"/>
    <w:uiPriority w:val="99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8D3"/>
  </w:style>
  <w:style w:type="paragraph" w:customStyle="1" w:styleId="style3">
    <w:name w:val="style3"/>
    <w:basedOn w:val="Normale"/>
    <w:rsid w:val="00190C2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6968D5"/>
  </w:style>
  <w:style w:type="paragraph" w:styleId="Paragrafoelenco">
    <w:name w:val="List Paragraph"/>
    <w:basedOn w:val="Normale"/>
    <w:uiPriority w:val="34"/>
    <w:qFormat/>
    <w:rsid w:val="009523D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C3C93"/>
    <w:pPr>
      <w:spacing w:before="100" w:beforeAutospacing="1" w:after="144" w:line="324" w:lineRule="atLeast"/>
    </w:pPr>
    <w:rPr>
      <w:rFonts w:ascii="sole_text" w:eastAsia="Times New Roman" w:hAnsi="sole_text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8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28D3"/>
  </w:style>
  <w:style w:type="paragraph" w:styleId="Pidipagina">
    <w:name w:val="footer"/>
    <w:basedOn w:val="Normale"/>
    <w:link w:val="PidipaginaCarattere"/>
    <w:uiPriority w:val="99"/>
    <w:unhideWhenUsed/>
    <w:rsid w:val="009A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8D3"/>
  </w:style>
  <w:style w:type="paragraph" w:customStyle="1" w:styleId="style3">
    <w:name w:val="style3"/>
    <w:basedOn w:val="Normale"/>
    <w:rsid w:val="00190C2D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799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i\logocol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A3C1-ABBA-4A93-ABA2-6C7D5B7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17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Idac</dc:creator>
  <cp:lastModifiedBy>Donatella Bargellini</cp:lastModifiedBy>
  <cp:revision>61</cp:revision>
  <cp:lastPrinted>2015-03-31T07:59:00Z</cp:lastPrinted>
  <dcterms:created xsi:type="dcterms:W3CDTF">2015-03-18T10:16:00Z</dcterms:created>
  <dcterms:modified xsi:type="dcterms:W3CDTF">2015-03-31T08:01:00Z</dcterms:modified>
</cp:coreProperties>
</file>